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366" w:rsidRDefault="001B6A43" w:rsidP="001B6A43">
      <w:pPr>
        <w:pStyle w:val="NormalWeb"/>
        <w:jc w:val="both"/>
        <w:rPr>
          <w:b/>
          <w:bCs/>
        </w:rPr>
      </w:pPr>
      <w:r>
        <w:rPr>
          <w:b/>
          <w:bCs/>
        </w:rPr>
        <w:t xml:space="preserve">Title: </w:t>
      </w:r>
    </w:p>
    <w:p w:rsidR="001B6A43" w:rsidRDefault="001B6A43" w:rsidP="00A06944">
      <w:pPr>
        <w:pStyle w:val="NormalWeb"/>
        <w:spacing w:line="360" w:lineRule="auto"/>
        <w:jc w:val="both"/>
        <w:rPr>
          <w:b/>
          <w:bCs/>
        </w:rPr>
      </w:pPr>
      <w:r w:rsidRPr="001B6A43">
        <w:rPr>
          <w:b/>
          <w:bCs/>
        </w:rPr>
        <w:t xml:space="preserve">Organizing for the Unexpected: </w:t>
      </w:r>
      <w:r w:rsidR="00BA6793">
        <w:rPr>
          <w:b/>
          <w:bCs/>
        </w:rPr>
        <w:t>Environmental Dynamism</w:t>
      </w:r>
      <w:r w:rsidRPr="001B6A43">
        <w:rPr>
          <w:b/>
          <w:bCs/>
        </w:rPr>
        <w:t>, Strategic Capabilities, and the Path to Resilience</w:t>
      </w:r>
    </w:p>
    <w:p w:rsidR="001B6A43" w:rsidRPr="001B6A43" w:rsidRDefault="001B6A43" w:rsidP="001B6A43">
      <w:pPr>
        <w:pStyle w:val="NormalWeb"/>
        <w:jc w:val="both"/>
        <w:rPr>
          <w:b/>
          <w:bCs/>
        </w:rPr>
      </w:pPr>
      <w:r w:rsidRPr="001B6A43">
        <w:rPr>
          <w:b/>
          <w:bCs/>
        </w:rPr>
        <w:t>Abstract</w:t>
      </w:r>
    </w:p>
    <w:p w:rsidR="001B6A43" w:rsidRDefault="001B6A43" w:rsidP="00A06944">
      <w:pPr>
        <w:pStyle w:val="NormalWeb"/>
        <w:spacing w:line="480" w:lineRule="auto"/>
        <w:jc w:val="both"/>
      </w:pPr>
      <w:r>
        <w:t>As technologies evolve at an unprecedented pace</w:t>
      </w:r>
      <w:r w:rsidR="00BA6793">
        <w:t xml:space="preserve"> presenting the </w:t>
      </w:r>
      <w:r w:rsidR="00BA6793" w:rsidRPr="00554D29">
        <w:rPr>
          <w:rFonts w:eastAsia="Calibri"/>
          <w:kern w:val="2"/>
          <w:lang w:val="en-US"/>
          <w14:ligatures w14:val="standardContextual"/>
        </w:rPr>
        <w:t xml:space="preserve">turbulent and unpredictable </w:t>
      </w:r>
      <w:r w:rsidR="00BA6793" w:rsidRPr="00A06944">
        <w:t>environments</w:t>
      </w:r>
      <w:r>
        <w:t xml:space="preserve">, organizations face mounting challenges in maintaining adaptability, strategic clarity, and resilience. This study investigates how firms can build organizational resilience (OR) in response to </w:t>
      </w:r>
      <w:r w:rsidR="00BA6793" w:rsidRPr="00A06944">
        <w:t xml:space="preserve">Environmental Dynamism (ED) </w:t>
      </w:r>
      <w:r>
        <w:t xml:space="preserve">by cultivating three key dynamic capabilities: </w:t>
      </w:r>
      <w:r w:rsidR="00BA6793">
        <w:t>A</w:t>
      </w:r>
      <w:r w:rsidR="009338FD">
        <w:t>mbidexterity (A</w:t>
      </w:r>
      <w:r w:rsidR="00BA6793">
        <w:t>D</w:t>
      </w:r>
      <w:r>
        <w:t xml:space="preserve">), </w:t>
      </w:r>
      <w:r w:rsidR="00BA6793">
        <w:t>A</w:t>
      </w:r>
      <w:r>
        <w:t xml:space="preserve">gility (AG), and </w:t>
      </w:r>
      <w:r w:rsidR="00BA6793">
        <w:t>R</w:t>
      </w:r>
      <w:r>
        <w:t xml:space="preserve">esource </w:t>
      </w:r>
      <w:r w:rsidR="00BA6793">
        <w:t>O</w:t>
      </w:r>
      <w:r>
        <w:t xml:space="preserve">rchestration </w:t>
      </w:r>
      <w:r w:rsidR="00BA6793">
        <w:t>C</w:t>
      </w:r>
      <w:r>
        <w:t xml:space="preserve">apability (ROC). Drawing on the dynamic capabilities view and resource orchestration theory, we develop and empirically test a conceptual model using survey data from </w:t>
      </w:r>
      <w:r w:rsidR="00BA6793">
        <w:t>311</w:t>
      </w:r>
      <w:r>
        <w:t xml:space="preserve"> managers across a range of industries in India. Using Partial Least Squares Structural Equation </w:t>
      </w:r>
      <w:proofErr w:type="spellStart"/>
      <w:r>
        <w:t>Modeling</w:t>
      </w:r>
      <w:proofErr w:type="spellEnd"/>
      <w:r>
        <w:t xml:space="preserve"> (PLS-SEM), our findings reveal that ambidexterity enhances agility, which in turn drives effective resource orchestration and strengthens </w:t>
      </w:r>
      <w:r w:rsidR="00BA6793">
        <w:t>organizational</w:t>
      </w:r>
      <w:r>
        <w:t xml:space="preserve"> resilience. Moreover</w:t>
      </w:r>
      <w:r w:rsidR="00BA6793">
        <w:t>, resource</w:t>
      </w:r>
      <w:r>
        <w:t xml:space="preserve"> orchestration emerges as a crucial link that transforms agility into resilience. The study also finds that the influence of ambidexterity on agility becomes more pronounced under higher levels of </w:t>
      </w:r>
      <w:r w:rsidR="00BA6793">
        <w:t>environmental</w:t>
      </w:r>
      <w:r>
        <w:t xml:space="preserve"> turbulence, highlighting the importance of contextual responsiveness. By integrating theoretical perspectives and empirical insights, this research contributes to a deeper understanding of how organizations can proactively navigate uncertainty. The findings hold practical relevance for managers and policymakers aiming to foster resilient, future-ready organizations in an increasingly volatile </w:t>
      </w:r>
      <w:r w:rsidR="00BA6793">
        <w:t>and uncertain</w:t>
      </w:r>
      <w:r>
        <w:t xml:space="preserve"> environment.</w:t>
      </w:r>
    </w:p>
    <w:p w:rsidR="00E26366" w:rsidRDefault="00E26366" w:rsidP="00A06944">
      <w:pPr>
        <w:pStyle w:val="NormalWeb"/>
        <w:spacing w:line="480" w:lineRule="auto"/>
        <w:jc w:val="both"/>
      </w:pPr>
      <w:proofErr w:type="gramStart"/>
      <w:r>
        <w:t xml:space="preserve">Keywords - </w:t>
      </w:r>
      <w:r w:rsidRPr="00E26366">
        <w:t>Organizational Resilience, Agility, Ambidexterity, Resource Orchestration Capability, Technological Turbulence</w:t>
      </w:r>
      <w:r w:rsidR="00BA6793">
        <w:t xml:space="preserve">, </w:t>
      </w:r>
      <w:r w:rsidR="00BA6793" w:rsidRPr="00A06944">
        <w:t>Environmental Dynamism.</w:t>
      </w:r>
      <w:proofErr w:type="gramEnd"/>
    </w:p>
    <w:p w:rsidR="00E26366" w:rsidRDefault="00E26366" w:rsidP="001B6A43">
      <w:pPr>
        <w:pStyle w:val="NormalWeb"/>
        <w:jc w:val="both"/>
      </w:pPr>
    </w:p>
    <w:p w:rsidR="00E51D6B" w:rsidRPr="00E51D6B" w:rsidRDefault="00E51D6B" w:rsidP="00E26366">
      <w:pPr>
        <w:pStyle w:val="NormalWeb"/>
        <w:numPr>
          <w:ilvl w:val="0"/>
          <w:numId w:val="1"/>
        </w:numPr>
        <w:spacing w:line="480" w:lineRule="auto"/>
        <w:jc w:val="both"/>
        <w:rPr>
          <w:b/>
          <w:bCs/>
        </w:rPr>
      </w:pPr>
      <w:r w:rsidRPr="00E51D6B">
        <w:rPr>
          <w:b/>
          <w:bCs/>
        </w:rPr>
        <w:lastRenderedPageBreak/>
        <w:t>Introduction</w:t>
      </w:r>
    </w:p>
    <w:p w:rsidR="003E05A0" w:rsidRDefault="003E05A0" w:rsidP="00E26366">
      <w:pPr>
        <w:pStyle w:val="NormalWeb"/>
        <w:spacing w:line="480" w:lineRule="auto"/>
        <w:jc w:val="both"/>
      </w:pPr>
      <w:r>
        <w:t xml:space="preserve">In today’s fast-evolving and volatile business environment, organizations face mounting pressures to adapt, innovate, and stay resilient amidst continuous technological disruption, global competition, and unpredictable market shifts (Teece, </w:t>
      </w:r>
      <w:proofErr w:type="spellStart"/>
      <w:r>
        <w:t>Peteraf</w:t>
      </w:r>
      <w:proofErr w:type="spellEnd"/>
      <w:r>
        <w:t xml:space="preserve">, &amp; </w:t>
      </w:r>
      <w:proofErr w:type="spellStart"/>
      <w:r>
        <w:t>Leih</w:t>
      </w:r>
      <w:proofErr w:type="spellEnd"/>
      <w:r>
        <w:t>, 2016). The digital era, in particular, has introduced an unprecedented pace of change, fundamentally transforming industries such as technology, healthcare, and retail (</w:t>
      </w:r>
      <w:proofErr w:type="spellStart"/>
      <w:r>
        <w:t>Bharadwaj</w:t>
      </w:r>
      <w:proofErr w:type="spellEnd"/>
      <w:r>
        <w:t xml:space="preserve"> et al., 2013). Innovations in artificial intelligence, automation, and data analytics are reshaping market structures and having a cascading impact on consumer behavior, preferences, and expectations, while external shocks like pandemics, economic crises, and geopolitical tensions further complicate the competitive landscape (Chen, Preston, &amp; </w:t>
      </w:r>
      <w:proofErr w:type="spellStart"/>
      <w:r>
        <w:t>Swink</w:t>
      </w:r>
      <w:proofErr w:type="spellEnd"/>
      <w:r>
        <w:t>, 2015; Reeves et al., 2020). To survive and thrive in such an environment, organizations must cultivate a robust set of dynamic capabilities—such as resource orchestration, ambidexterity, agility, and resilience—that allow them to respond proactively to turbulence and seize new opportunities for growth (Teece, 2007; O’Reilly &amp; Tushman, 2013). One illustrative example is Apple Inc., which exemplifies dynamic capability development. Apple's success lies not just in its superior technological resources but also in its ability to orchestrate these resources efficiently. By integrating hardware, software, and services through its ecosystem (e.g., the iPhone, App Store, and Apple Pay), Apple leverages resource orchestration to create value and sustain innovation (</w:t>
      </w:r>
      <w:proofErr w:type="spellStart"/>
      <w:r>
        <w:t>Sirmon</w:t>
      </w:r>
      <w:proofErr w:type="spellEnd"/>
      <w:r>
        <w:t xml:space="preserve">, </w:t>
      </w:r>
      <w:proofErr w:type="spellStart"/>
      <w:r>
        <w:t>Hitt</w:t>
      </w:r>
      <w:proofErr w:type="spellEnd"/>
      <w:r>
        <w:t xml:space="preserve">, &amp; Ireland, 2007). Additionally, Apple demonstrates organizational ambidexterity by maintaining a strong focus on both exploration (e.g., developing new products like augmented reality devices) and exploitation (e.g., refining existing product lines such as the iPhone) (O’Reilly &amp; Tushman, 2004). The company’s agility is evident in its rapid adaptation to market changes, such as shifting its focus toward services revenue in response to slowing hardware sales (Teece et al., 2016). Similarly, Netflix is another organization that showcases dynamic capabilities. Initially a DVD rental service, </w:t>
      </w:r>
      <w:r>
        <w:lastRenderedPageBreak/>
        <w:t xml:space="preserve">Netflix sensed emerging trends in digital streaming and rapidly seized the opportunity to transform its business model (Wade &amp; </w:t>
      </w:r>
      <w:proofErr w:type="spellStart"/>
      <w:r>
        <w:t>Hulland</w:t>
      </w:r>
      <w:proofErr w:type="spellEnd"/>
      <w:r>
        <w:t>, 2004). Through resource orchestration, the company reallocated investments toward content creation and technology infrastructure (</w:t>
      </w:r>
      <w:proofErr w:type="spellStart"/>
      <w:r>
        <w:t>Sirmon</w:t>
      </w:r>
      <w:proofErr w:type="spellEnd"/>
      <w:r>
        <w:t xml:space="preserve"> et al., 2011). It balanced exploration and exploitation by continuously innovating with new content formats (e.g., interactive series) while optimizing its streaming algorithms to enhance the user experience (Li, 2020). Netflix’s agility allowed it to maintain market leadership in the face of competition from newer entrants like Disney+ and Amazon Prime Video. Furthermore, its resilience was demonstrated during the COVID-19 pandemic, when it quickly adjusted production schedules and content distribution to meet heightened consumer demand (Gong, Greenwood, &amp; Han, 2022). In contrast, organizations that lacked dynamic capabilities struggled to survive. For instance, traditional retailers such as J.C. Penney and Sears were slow to adapt to the e-commerce revolution led by Amazon. These companies failed to orchestrate resources to develop digital platforms and streamline supply chains, resulting in declining market relevance (</w:t>
      </w:r>
      <w:proofErr w:type="spellStart"/>
      <w:r>
        <w:t>Svahn</w:t>
      </w:r>
      <w:proofErr w:type="spellEnd"/>
      <w:r>
        <w:t xml:space="preserve">, </w:t>
      </w:r>
      <w:proofErr w:type="spellStart"/>
      <w:r>
        <w:t>Mathiassen</w:t>
      </w:r>
      <w:proofErr w:type="spellEnd"/>
      <w:r>
        <w:t>, &amp; Lindgren, 2017). Their inability to demonstrate agility and resilience ultimately led to financial distress and bankruptcy. These contrasting examples underline the importance of developing an integrated set of dynamic capabilities that reinforce one another (Teece, 2014).</w:t>
      </w:r>
    </w:p>
    <w:p w:rsidR="00B9319F" w:rsidRDefault="00F21603" w:rsidP="00E26366">
      <w:pPr>
        <w:pStyle w:val="NormalWeb"/>
        <w:spacing w:line="480" w:lineRule="auto"/>
        <w:jc w:val="both"/>
      </w:pPr>
      <w:r w:rsidRPr="00F21603">
        <w:t xml:space="preserve">One of the most significant sources of disruption today is </w:t>
      </w:r>
      <w:r w:rsidR="009338FD" w:rsidRPr="00974633">
        <w:rPr>
          <w:rFonts w:eastAsia="Calibri"/>
          <w:kern w:val="2"/>
          <w:lang w:val="en-US"/>
          <w14:ligatures w14:val="standardContextual"/>
        </w:rPr>
        <w:t>volatile markets, socio-economic uncertainties, and technological disruptions together, known as Environmental Dynamism (E</w:t>
      </w:r>
      <w:r w:rsidR="003C1E97">
        <w:rPr>
          <w:rFonts w:eastAsia="Calibri"/>
          <w:kern w:val="2"/>
          <w:lang w:val="en-US"/>
          <w14:ligatures w14:val="standardContextual"/>
        </w:rPr>
        <w:t>NV</w:t>
      </w:r>
      <w:r w:rsidR="009338FD" w:rsidRPr="00974633">
        <w:rPr>
          <w:rFonts w:eastAsia="Calibri"/>
          <w:kern w:val="2"/>
          <w:lang w:val="en-US"/>
          <w14:ligatures w14:val="standardContextual"/>
        </w:rPr>
        <w:t>D)</w:t>
      </w:r>
      <w:r w:rsidR="00BA6210">
        <w:rPr>
          <w:rFonts w:eastAsia="Calibri"/>
          <w:kern w:val="2"/>
          <w:lang w:val="en-US"/>
          <w14:ligatures w14:val="standardContextual"/>
        </w:rPr>
        <w:t xml:space="preserve"> </w:t>
      </w:r>
      <w:r w:rsidR="00BA6210">
        <w:rPr>
          <w:rFonts w:eastAsia="Calibri"/>
          <w:kern w:val="2"/>
          <w:lang w:val="en-US"/>
          <w14:ligatures w14:val="standardContextual"/>
        </w:rPr>
        <w:fldChar w:fldCharType="begin"/>
      </w:r>
      <w:r w:rsidR="00BA6210">
        <w:rPr>
          <w:rFonts w:eastAsia="Calibri"/>
          <w:kern w:val="2"/>
          <w:lang w:val="en-US"/>
          <w14:ligatures w14:val="standardContextual"/>
        </w:rPr>
        <w:instrText xml:space="preserve"> ADDIN ZOTERO_ITEM CSL_CITATION {"citationID":"qhY9zDkv","properties":{"formattedCitation":"(Miller, 1987)","plainCitation":"(Miller, 1987)","noteIndex":0},"citationItems":[{"id":8622,"uris":["http://zotero.org/users/12485464/items/B9QH8M75"],"itemData":{"id":8622,"type":"article-journal","abstract":"Abstract\n            An attempt is made to relate several common dimensions of business‐level strategy to their organizational contexts. A model is developed that predicts the structural and environmental correlates of a strategy on the basis of the number and uncertainty of its contingencies. It is shown that strategies of complex product innovation, marketing differentiation, market breadth and conservative cost control each have pronounced but very different relationships with bureaucratic and organic structural devices of uncertainty reduction, differentiation and integration, and with environmental dynamism, heterogeneity and hostility.","container-title":"Strategic Management Journal","DOI":"10.1002/smj.4250080106","ISSN":"0143-2095, 1097-0266","issue":"1","journalAbbreviation":"Strategic Management Journal","language":"en","license":"http://onlinelibrary.wiley.com/termsAndConditions#vor","page":"55-76","source":"DOI.org (Crossref)","title":"The structural and environmental correlates of business strategy","volume":"8","author":[{"family":"Miller","given":"Danny"}],"issued":{"date-parts":[["1987",1]]}}}],"schema":"https://github.com/citation-style-language/schema/raw/master/csl-citation.json"} </w:instrText>
      </w:r>
      <w:r w:rsidR="00BA6210">
        <w:rPr>
          <w:rFonts w:eastAsia="Calibri"/>
          <w:kern w:val="2"/>
          <w:lang w:val="en-US"/>
          <w14:ligatures w14:val="standardContextual"/>
        </w:rPr>
        <w:fldChar w:fldCharType="separate"/>
      </w:r>
      <w:r w:rsidR="00BA6210" w:rsidRPr="00BA6210">
        <w:rPr>
          <w:rFonts w:eastAsia="Calibri"/>
        </w:rPr>
        <w:t>(Miller, 1987)</w:t>
      </w:r>
      <w:r w:rsidR="00BA6210">
        <w:rPr>
          <w:rFonts w:eastAsia="Calibri"/>
          <w:kern w:val="2"/>
          <w:lang w:val="en-US"/>
          <w14:ligatures w14:val="standardContextual"/>
        </w:rPr>
        <w:fldChar w:fldCharType="end"/>
      </w:r>
      <w:r w:rsidRPr="00F21603">
        <w:t xml:space="preserve">. </w:t>
      </w:r>
      <w:r w:rsidR="00071B14">
        <w:t>It</w:t>
      </w:r>
      <w:r w:rsidRPr="00F21603">
        <w:t xml:space="preserve"> refers to the rapid and unpredictable changes driven by the integration of technologies, which not only alter operational processes but also reshape how consumers interact with brands and make purchasing decisions. In this dynamic context, firms must re</w:t>
      </w:r>
      <w:r w:rsidR="00071B14">
        <w:t>-</w:t>
      </w:r>
      <w:r w:rsidRPr="00F21603">
        <w:t xml:space="preserve">evaluate traditional strategic approaches, as past models often fail to account for the speed and complexity of </w:t>
      </w:r>
      <w:r w:rsidR="009338FD">
        <w:t>technological</w:t>
      </w:r>
      <w:r w:rsidRPr="00F21603">
        <w:t xml:space="preserve"> disruption. Organizations must therefore develop capabilities that allow them to sense emerging trends, align with consumer </w:t>
      </w:r>
      <w:r w:rsidRPr="00F21603">
        <w:lastRenderedPageBreak/>
        <w:t>expectations, and adapt internal structures accordingly. A theoretical lens that offers insight into such adaptive behavior is the contingency perspective, which posits that organizational performanc</w:t>
      </w:r>
      <w:r w:rsidR="00B9319F">
        <w:t xml:space="preserve">e is dependent on the alignment </w:t>
      </w:r>
      <w:r w:rsidRPr="00F21603">
        <w:t>or "fit"</w:t>
      </w:r>
      <w:r w:rsidR="00B9319F">
        <w:t xml:space="preserve"> </w:t>
      </w:r>
      <w:r w:rsidRPr="00F21603">
        <w:t xml:space="preserve">between internal strategies and external conditions (Ginsberg &amp; </w:t>
      </w:r>
      <w:proofErr w:type="spellStart"/>
      <w:r w:rsidRPr="00F21603">
        <w:t>Venkatraman</w:t>
      </w:r>
      <w:proofErr w:type="spellEnd"/>
      <w:r w:rsidRPr="00F21603">
        <w:t xml:space="preserve">, 1985). In rapidly </w:t>
      </w:r>
      <w:r w:rsidR="009338FD">
        <w:t xml:space="preserve">changing </w:t>
      </w:r>
      <w:r w:rsidRPr="00F21603">
        <w:t xml:space="preserve">environments, this alignment requires firms to tailor strategies to market volatility and </w:t>
      </w:r>
      <w:r w:rsidR="009338FD">
        <w:t>technological</w:t>
      </w:r>
      <w:r w:rsidRPr="00F21603">
        <w:t xml:space="preserve"> innovation. An essential dynamic capability in this regard is </w:t>
      </w:r>
      <w:r w:rsidR="00B9319F">
        <w:t>A</w:t>
      </w:r>
      <w:r w:rsidR="00B9319F" w:rsidRPr="00F21603">
        <w:t>mbidexterity</w:t>
      </w:r>
      <w:r w:rsidR="00B9319F">
        <w:t xml:space="preserve"> (</w:t>
      </w:r>
      <w:r w:rsidR="003C1E97">
        <w:t>AD</w:t>
      </w:r>
      <w:r w:rsidR="00B9319F">
        <w:t>)</w:t>
      </w:r>
      <w:r w:rsidR="00B9319F" w:rsidRPr="00F21603">
        <w:t xml:space="preserve">, which involves simultaneously exploring new </w:t>
      </w:r>
      <w:r w:rsidR="009338FD">
        <w:t>technological</w:t>
      </w:r>
      <w:r w:rsidR="00B9319F" w:rsidRPr="00F21603">
        <w:t xml:space="preserve"> innovations while exploiting existing capabilities (Tushman &amp; O'Reilly, 1996; He &amp; Wong, 2004). Ambidextrous firms are better equipped to remain both innovative and operationally efficient. For example, a retail company might explore artificial intelligence based product recommendations while improving supply chain optimization using data analytics. This balance is essential for navigating uncertainty without compromising current performance.</w:t>
      </w:r>
    </w:p>
    <w:p w:rsidR="00F21603" w:rsidRPr="00F21603" w:rsidRDefault="00B9319F" w:rsidP="00E26366">
      <w:pPr>
        <w:pStyle w:val="NormalWeb"/>
        <w:spacing w:line="480" w:lineRule="auto"/>
        <w:jc w:val="both"/>
      </w:pPr>
      <w:r w:rsidRPr="00F21603">
        <w:t xml:space="preserve">However, </w:t>
      </w:r>
      <w:r>
        <w:t>A</w:t>
      </w:r>
      <w:r w:rsidRPr="00F21603">
        <w:t>mbidexterity alone is not sufficient for long-term success.</w:t>
      </w:r>
      <w:r>
        <w:t xml:space="preserve"> Organizations should also exhibit agile characteristics to quickly sense the turbulence and changes in the economic landscape. </w:t>
      </w:r>
      <w:r w:rsidR="00F21603" w:rsidRPr="00F21603">
        <w:t>Agility (</w:t>
      </w:r>
      <w:r w:rsidR="003C1E97">
        <w:t>AG</w:t>
      </w:r>
      <w:r w:rsidR="00F21603" w:rsidRPr="00F21603">
        <w:t>)</w:t>
      </w:r>
      <w:r>
        <w:t xml:space="preserve"> - </w:t>
      </w:r>
      <w:r w:rsidR="00F21603" w:rsidRPr="00F21603">
        <w:t>an organization’s ability to sense and respond rapidly to digital opportunities and threats (</w:t>
      </w:r>
      <w:proofErr w:type="spellStart"/>
      <w:r w:rsidR="00F21603" w:rsidRPr="00F21603">
        <w:t>Salmela</w:t>
      </w:r>
      <w:proofErr w:type="spellEnd"/>
      <w:r w:rsidR="00F21603" w:rsidRPr="00F21603">
        <w:t xml:space="preserve"> et al., 2022). </w:t>
      </w:r>
      <w:r w:rsidR="00071B14">
        <w:t>It</w:t>
      </w:r>
      <w:r w:rsidR="00F21603" w:rsidRPr="00F21603">
        <w:t xml:space="preserve"> enables real-time adaptation of strategies, processes, and offerings to consumer needs, allowing for timely, relevant, and effective engagement across </w:t>
      </w:r>
      <w:r w:rsidR="00BA6210">
        <w:t>different markets</w:t>
      </w:r>
      <w:r w:rsidR="00F21603" w:rsidRPr="00F21603">
        <w:t>.</w:t>
      </w:r>
      <w:r>
        <w:t xml:space="preserve"> </w:t>
      </w:r>
      <w:r w:rsidR="00F21603" w:rsidRPr="00F21603">
        <w:t>Organizations must also develop Supporting both agility and ambidexterity is the capability of resource orchestration</w:t>
      </w:r>
      <w:r w:rsidR="00071B14">
        <w:t xml:space="preserve"> (</w:t>
      </w:r>
      <w:r w:rsidR="00DC73C4">
        <w:t>ROC</w:t>
      </w:r>
      <w:r w:rsidR="00071B14">
        <w:t xml:space="preserve">) - </w:t>
      </w:r>
      <w:r w:rsidR="00F21603" w:rsidRPr="00F21603">
        <w:t>the process of structuring, bundling, and leveraging organizational resources to align with strategic goals (</w:t>
      </w:r>
      <w:proofErr w:type="spellStart"/>
      <w:r w:rsidR="00F21603" w:rsidRPr="00F21603">
        <w:t>Sirmon</w:t>
      </w:r>
      <w:proofErr w:type="spellEnd"/>
      <w:r w:rsidR="00F21603" w:rsidRPr="00F21603">
        <w:t xml:space="preserve"> et al., 2007; </w:t>
      </w:r>
      <w:proofErr w:type="spellStart"/>
      <w:r w:rsidR="00F21603" w:rsidRPr="00F21603">
        <w:t>Sirmon</w:t>
      </w:r>
      <w:proofErr w:type="spellEnd"/>
      <w:r w:rsidR="00F21603" w:rsidRPr="00F21603">
        <w:t xml:space="preserve"> et al., 2011). In the </w:t>
      </w:r>
      <w:r w:rsidR="00BA6210">
        <w:t>technologic</w:t>
      </w:r>
      <w:r w:rsidR="00F21603" w:rsidRPr="00F21603">
        <w:t xml:space="preserve">al </w:t>
      </w:r>
      <w:r w:rsidR="00BA6210">
        <w:t>turbulent environment</w:t>
      </w:r>
      <w:r w:rsidR="00F21603" w:rsidRPr="00F21603">
        <w:t xml:space="preserve">, this includes integrating IT platforms, consumer data systems, and digital talent to create seamless and personalized consumer experiences. Effective resource orchestration acts as a multiplier, amplifying the effects of </w:t>
      </w:r>
      <w:r w:rsidR="003C1E97">
        <w:t>AD</w:t>
      </w:r>
      <w:r w:rsidR="00071B14">
        <w:t xml:space="preserve"> and </w:t>
      </w:r>
      <w:r w:rsidR="003C1E97">
        <w:t>AG</w:t>
      </w:r>
      <w:r w:rsidR="00F21603" w:rsidRPr="00F21603">
        <w:t xml:space="preserve"> and converting them into competitive advantage. Together, these capabilities contribute to Organizational Resilience (</w:t>
      </w:r>
      <w:r w:rsidR="003C1E97">
        <w:t>OR</w:t>
      </w:r>
      <w:r w:rsidR="00F21603" w:rsidRPr="00F21603">
        <w:t>)</w:t>
      </w:r>
      <w:r w:rsidR="00BA6210">
        <w:t xml:space="preserve"> - </w:t>
      </w:r>
      <w:r w:rsidR="00F21603" w:rsidRPr="00F21603">
        <w:t xml:space="preserve">a firm’s ability to </w:t>
      </w:r>
      <w:r w:rsidR="00F21603" w:rsidRPr="00F21603">
        <w:lastRenderedPageBreak/>
        <w:t xml:space="preserve">absorb </w:t>
      </w:r>
      <w:r w:rsidR="00BA6210">
        <w:t>unanticipated</w:t>
      </w:r>
      <w:r w:rsidR="00F21603" w:rsidRPr="00F21603">
        <w:t xml:space="preserve"> shocks, adapt to new conditions, and maintain performance amidst disruption. Although the concept of organizational resilience has been widely studied, its </w:t>
      </w:r>
      <w:r w:rsidR="00BA6210">
        <w:t>sub-</w:t>
      </w:r>
      <w:r w:rsidR="00F21603" w:rsidRPr="00F21603">
        <w:t>dimension</w:t>
      </w:r>
      <w:r w:rsidR="00BA6210">
        <w:t>s</w:t>
      </w:r>
      <w:r w:rsidR="00F21603" w:rsidRPr="00F21603">
        <w:t xml:space="preserve"> remains underexplored, particularly in consumer-facing industries. In a world increasingly defined by </w:t>
      </w:r>
      <w:r w:rsidR="00BA6210">
        <w:t>technologic</w:t>
      </w:r>
      <w:r w:rsidR="00F21603" w:rsidRPr="00F21603">
        <w:t xml:space="preserve">al ecosystems, cultivating </w:t>
      </w:r>
      <w:r w:rsidR="003C1E97">
        <w:t>OR</w:t>
      </w:r>
      <w:r w:rsidR="00F21603" w:rsidRPr="00F21603">
        <w:t xml:space="preserve"> is vital for sustaining relevance, trust, and competitive advantage. For example, firms that can restore services quickly after a </w:t>
      </w:r>
      <w:r w:rsidR="00071B14" w:rsidRPr="00F21603">
        <w:t>cyber</w:t>
      </w:r>
      <w:r w:rsidR="00071B14">
        <w:t>-</w:t>
      </w:r>
      <w:r w:rsidR="00071B14" w:rsidRPr="00F21603">
        <w:t>attack</w:t>
      </w:r>
      <w:r w:rsidR="00071B14">
        <w:t>s</w:t>
      </w:r>
      <w:r w:rsidR="00F21603" w:rsidRPr="00F21603">
        <w:t xml:space="preserve">, adapt product recommendations to changing consumer trends, or introduce new engagement channels during crises are more likely to retain customers and drive loyalty. In this sense, </w:t>
      </w:r>
      <w:r w:rsidR="00BA6210">
        <w:t>organizational</w:t>
      </w:r>
      <w:r w:rsidR="00F21603" w:rsidRPr="00F21603">
        <w:t xml:space="preserve"> resilience becomes a core driver of sustainable consumer relationships.</w:t>
      </w:r>
    </w:p>
    <w:p w:rsidR="00F21603" w:rsidRPr="00F21603" w:rsidRDefault="00F21603" w:rsidP="00E26366">
      <w:pPr>
        <w:pStyle w:val="NormalWeb"/>
        <w:spacing w:line="480" w:lineRule="auto"/>
        <w:jc w:val="both"/>
      </w:pPr>
      <w:r w:rsidRPr="00F21603">
        <w:t xml:space="preserve">This study builds upon the dynamic capabilities framework (Teece, 2007), which emphasizes the ability of firms to adapt resource configurations in response to changing environments. It also draws on resource orchestration </w:t>
      </w:r>
      <w:r w:rsidR="00B9319F">
        <w:t xml:space="preserve">capability </w:t>
      </w:r>
      <w:r w:rsidRPr="00F21603">
        <w:t>theory (</w:t>
      </w:r>
      <w:proofErr w:type="spellStart"/>
      <w:r w:rsidRPr="00F21603">
        <w:t>Sirmon</w:t>
      </w:r>
      <w:proofErr w:type="spellEnd"/>
      <w:r w:rsidRPr="00F21603">
        <w:t xml:space="preserve"> et al., 2007, 2011) and organizational ambidexterity theory (O’Reilly &amp; Tushman, 2013), offering a unified conceptual model that links </w:t>
      </w:r>
      <w:r w:rsidR="003C1E97">
        <w:t>ENVD</w:t>
      </w:r>
      <w:r w:rsidRPr="00F21603">
        <w:t xml:space="preserve">, </w:t>
      </w:r>
      <w:r w:rsidR="003C1E97">
        <w:t>AD</w:t>
      </w:r>
      <w:r w:rsidR="00B9319F">
        <w:t xml:space="preserve">, </w:t>
      </w:r>
      <w:r w:rsidR="003C1E97">
        <w:t>AG</w:t>
      </w:r>
      <w:r w:rsidRPr="00F21603">
        <w:t xml:space="preserve">, and </w:t>
      </w:r>
      <w:r w:rsidR="00DC73C4">
        <w:t>ROC</w:t>
      </w:r>
      <w:r w:rsidRPr="00F21603">
        <w:t xml:space="preserve"> to </w:t>
      </w:r>
      <w:r w:rsidR="003C1E97">
        <w:t>OR</w:t>
      </w:r>
      <w:r w:rsidRPr="00F21603">
        <w:t>. The model highlights how these capabilities are interdependent and collectively contribute to organizational flexibility and adaptability, leading to sustained competitive advantage.</w:t>
      </w:r>
      <w:r>
        <w:t xml:space="preserve"> </w:t>
      </w:r>
      <w:r w:rsidRPr="00F21603">
        <w:t xml:space="preserve">To summarize, this study positions </w:t>
      </w:r>
      <w:r w:rsidR="003C1E97">
        <w:t>ENVD</w:t>
      </w:r>
      <w:r w:rsidRPr="00F21603">
        <w:t xml:space="preserve"> as a catalyst for organizational change and consumer behavior evolution. It argues that to remain relevant and compet</w:t>
      </w:r>
      <w:r w:rsidR="00266A9F">
        <w:t>itive, firms must cultivate organization</w:t>
      </w:r>
      <w:r w:rsidRPr="00F21603">
        <w:t xml:space="preserve">al agility, balance innovation with operational discipline through </w:t>
      </w:r>
      <w:r w:rsidR="00BA6210">
        <w:t>organizational</w:t>
      </w:r>
      <w:r w:rsidRPr="00F21603">
        <w:t xml:space="preserve"> ambidexterity, and coordinate their </w:t>
      </w:r>
      <w:r w:rsidR="00BA6210">
        <w:t>available</w:t>
      </w:r>
      <w:r w:rsidRPr="00F21603">
        <w:t xml:space="preserve"> resources strategically. These capabilities, when integrated, give rise to </w:t>
      </w:r>
      <w:r w:rsidR="00BA6210">
        <w:t>organizational</w:t>
      </w:r>
      <w:r w:rsidRPr="00F21603">
        <w:t xml:space="preserve"> resilience—an essential </w:t>
      </w:r>
      <w:r w:rsidR="00B9319F">
        <w:t xml:space="preserve">and must have </w:t>
      </w:r>
      <w:r w:rsidRPr="00F21603">
        <w:t>attribute in today’s volatile, uncertain, complex, and ambiguous (VUCA) business environment</w:t>
      </w:r>
      <w:r w:rsidR="00355817">
        <w:t xml:space="preserve"> (Johansen, 2013)</w:t>
      </w:r>
      <w:r w:rsidRPr="00F21603">
        <w:t xml:space="preserve">. Accordingly, this paper seeks to address the following questions: (1) </w:t>
      </w:r>
      <w:proofErr w:type="gramStart"/>
      <w:r w:rsidRPr="00F21603">
        <w:t>To</w:t>
      </w:r>
      <w:proofErr w:type="gramEnd"/>
      <w:r w:rsidRPr="00F21603">
        <w:t xml:space="preserve"> what extent does </w:t>
      </w:r>
      <w:r w:rsidR="00BA6210">
        <w:t>environmental dynamism</w:t>
      </w:r>
      <w:r w:rsidRPr="00F21603">
        <w:t xml:space="preserve"> influence agility? (2) How does this influence impact the building of </w:t>
      </w:r>
      <w:r w:rsidR="00BA6210">
        <w:t>organizational resilience</w:t>
      </w:r>
      <w:r w:rsidRPr="00F21603">
        <w:t xml:space="preserve">? (3) In what manner does </w:t>
      </w:r>
      <w:r w:rsidR="007F707E" w:rsidRPr="00F21603">
        <w:t xml:space="preserve">turbulence </w:t>
      </w:r>
      <w:r w:rsidRPr="00F21603">
        <w:t xml:space="preserve">moderate the relationship </w:t>
      </w:r>
      <w:r w:rsidRPr="00F21603">
        <w:lastRenderedPageBreak/>
        <w:t xml:space="preserve">between </w:t>
      </w:r>
      <w:r w:rsidR="007F707E" w:rsidRPr="00F21603">
        <w:t>ambidexterity</w:t>
      </w:r>
      <w:r w:rsidRPr="00F21603">
        <w:t xml:space="preserve"> and agility? (4) By what factors does agility lead to resource orchestration capability in building organizational resilience? To address the above ontological queries, this paper delves on to the following research questions.</w:t>
      </w:r>
    </w:p>
    <w:p w:rsidR="00F21603" w:rsidRPr="00F21603" w:rsidRDefault="00F21603" w:rsidP="00E26366">
      <w:pPr>
        <w:pStyle w:val="NormalWeb"/>
        <w:spacing w:line="480" w:lineRule="auto"/>
        <w:jc w:val="both"/>
      </w:pPr>
      <w:r w:rsidRPr="00F21603">
        <w:t>RQ1: What is the association between ambidexterity and agility?</w:t>
      </w:r>
    </w:p>
    <w:p w:rsidR="00F21603" w:rsidRPr="00F21603" w:rsidRDefault="00F21603" w:rsidP="00E26366">
      <w:pPr>
        <w:pStyle w:val="NormalWeb"/>
        <w:spacing w:line="480" w:lineRule="auto"/>
        <w:jc w:val="both"/>
      </w:pPr>
      <w:r w:rsidRPr="00F21603">
        <w:t xml:space="preserve">RQ2: How do agility and </w:t>
      </w:r>
      <w:r w:rsidR="00BA6210">
        <w:t>r</w:t>
      </w:r>
      <w:r w:rsidRPr="00F21603">
        <w:t>esource orchestration capabilities associated wit</w:t>
      </w:r>
      <w:r w:rsidR="00BA6210">
        <w:t>h organizational</w:t>
      </w:r>
      <w:r w:rsidRPr="00F21603">
        <w:t xml:space="preserve"> resilience?</w:t>
      </w:r>
    </w:p>
    <w:p w:rsidR="00F21603" w:rsidRDefault="00F21603" w:rsidP="00E26366">
      <w:pPr>
        <w:pStyle w:val="NormalWeb"/>
        <w:spacing w:line="480" w:lineRule="auto"/>
        <w:jc w:val="both"/>
      </w:pPr>
      <w:r w:rsidRPr="00F21603">
        <w:t xml:space="preserve">This article offers significant contributions to both theory and practice. Theoretically, it extends the literature on resilience by integrating insights from strategic management, information systems, and consumer behavior. It also bridges gaps in existing research by examining how firms can orchestrate </w:t>
      </w:r>
      <w:r w:rsidR="00BA6210">
        <w:t>different</w:t>
      </w:r>
      <w:r w:rsidRPr="00F21603">
        <w:t xml:space="preserve"> resources to deliver meaningful consumer experiences in volatile conditions. From a practical perspective, the study provides actionable insights for business leaders and policymakers. It suggests that firms should invest not only in technolog</w:t>
      </w:r>
      <w:r w:rsidR="00BA6210">
        <w:t>y up-gradation</w:t>
      </w:r>
      <w:r w:rsidRPr="00F21603">
        <w:t xml:space="preserve"> but also in developing organizational cultures that support agility, experimentation, and coordinated resource use. Moreover, it emphasizes the need for continuous learning and adaptation, particularly in consumer-facing functions such as marketing, service delivery, and customer experience management. In addressing these themes, this study draws on empirical data collected from diverse industry sectors. This cross-sectorial approach allows for broader generalization and offers insights that are relevant to a wide range of firms, from technology </w:t>
      </w:r>
      <w:r w:rsidR="00071B14" w:rsidRPr="00F21603">
        <w:t>start-ups</w:t>
      </w:r>
      <w:r w:rsidRPr="00F21603">
        <w:t xml:space="preserve"> to established manufacturing giants. By examining how different types of organizations respond to </w:t>
      </w:r>
      <w:r w:rsidR="003C1E97">
        <w:t>ENVD</w:t>
      </w:r>
      <w:r w:rsidRPr="00F21603">
        <w:t xml:space="preserve"> and build </w:t>
      </w:r>
      <w:r w:rsidR="00BA6210">
        <w:t>organization</w:t>
      </w:r>
      <w:r w:rsidRPr="00F21603">
        <w:t xml:space="preserve">al resilience, the research identifies best practices and common pitfalls, informing both academic debates and practical strategies. </w:t>
      </w:r>
    </w:p>
    <w:p w:rsidR="00F21603" w:rsidRPr="00F21603" w:rsidRDefault="00F21603" w:rsidP="00E26366">
      <w:pPr>
        <w:pStyle w:val="NormalWeb"/>
        <w:spacing w:line="480" w:lineRule="auto"/>
        <w:jc w:val="both"/>
      </w:pPr>
      <w:r w:rsidRPr="00F21603">
        <w:lastRenderedPageBreak/>
        <w:t>The findings of this paper are particularly salient for marketing professionals and consumer behavior scholars</w:t>
      </w:r>
      <w:r w:rsidR="00BA6210">
        <w:t xml:space="preserve"> and society at large</w:t>
      </w:r>
      <w:r w:rsidRPr="00F21603">
        <w:t xml:space="preserve">. As consumer journeys become increasingly </w:t>
      </w:r>
      <w:proofErr w:type="gramStart"/>
      <w:r w:rsidRPr="00F21603">
        <w:t>digital</w:t>
      </w:r>
      <w:proofErr w:type="gramEnd"/>
      <w:r w:rsidRPr="00F21603">
        <w:t xml:space="preserve">, understanding how firms can adapt their capabilities to meet changing expectations is vital. Agile firms are better equipped to deliver personalized experiences, respond to feedback in real time, and foster lasting relationships. At the same time, ambidextrous organizations are more likely to innovate in ways that resonate with consumers while maintaining operational excellence. Resource orchestration further ensures that these capabilities are deployed effectively, enabling firms to act strategically rather than reactively. Furthermore, this research contributes to policy discussions around </w:t>
      </w:r>
      <w:r w:rsidR="00EC36F4">
        <w:t>environmental dynamism</w:t>
      </w:r>
      <w:r w:rsidRPr="00F21603">
        <w:t xml:space="preserve"> and organizational preparedness. In an age where </w:t>
      </w:r>
      <w:r w:rsidR="00EC36F4">
        <w:t>technologic</w:t>
      </w:r>
      <w:r w:rsidRPr="00F21603">
        <w:t xml:space="preserve">al disruption can undermine entire industries, fostering resilience is a matter of public and economic interest. Policymakers can use insights from this study to support programs that build </w:t>
      </w:r>
      <w:r w:rsidR="00EC36F4">
        <w:t>dynamic</w:t>
      </w:r>
      <w:r w:rsidRPr="00F21603">
        <w:t xml:space="preserve"> capabilities in small and medium-sized enterprises (SMEs), promote workforce up</w:t>
      </w:r>
      <w:r>
        <w:t>-</w:t>
      </w:r>
      <w:r w:rsidRPr="00F21603">
        <w:t>skilling, and encourage innovation ecosystems that enhance national and regional resilience.</w:t>
      </w:r>
    </w:p>
    <w:p w:rsidR="00F21603" w:rsidRDefault="00F21603" w:rsidP="00E26366">
      <w:pPr>
        <w:pStyle w:val="NormalWeb"/>
        <w:spacing w:line="480" w:lineRule="auto"/>
        <w:jc w:val="both"/>
      </w:pPr>
      <w:r w:rsidRPr="00F21603">
        <w:t xml:space="preserve">The structure of this paper is organized as follows: </w:t>
      </w:r>
      <w:r w:rsidR="00E51D6B">
        <w:t>Introduction is followed by</w:t>
      </w:r>
      <w:r w:rsidRPr="00F21603">
        <w:t xml:space="preserve"> reviews </w:t>
      </w:r>
      <w:r w:rsidR="00E51D6B">
        <w:t xml:space="preserve">of </w:t>
      </w:r>
      <w:r w:rsidRPr="00F21603">
        <w:t xml:space="preserve">existing literature on </w:t>
      </w:r>
      <w:r w:rsidR="003C1E97">
        <w:t>ENVD</w:t>
      </w:r>
      <w:r w:rsidRPr="00F21603">
        <w:t xml:space="preserve">, </w:t>
      </w:r>
      <w:r w:rsidR="003C1E97">
        <w:t>AG</w:t>
      </w:r>
      <w:r w:rsidRPr="00F21603">
        <w:t xml:space="preserve">, </w:t>
      </w:r>
      <w:r w:rsidR="003C1E97">
        <w:t>AD</w:t>
      </w:r>
      <w:r w:rsidRPr="00F21603">
        <w:t xml:space="preserve">, </w:t>
      </w:r>
      <w:r w:rsidR="00DC73C4">
        <w:t>ROC</w:t>
      </w:r>
      <w:r w:rsidRPr="00F21603">
        <w:t xml:space="preserve">, and </w:t>
      </w:r>
      <w:r w:rsidR="003C1E97">
        <w:t>OR</w:t>
      </w:r>
      <w:r w:rsidRPr="00F21603">
        <w:t xml:space="preserve">. </w:t>
      </w:r>
      <w:r w:rsidR="00E51D6B">
        <w:t xml:space="preserve">Next section </w:t>
      </w:r>
      <w:r w:rsidRPr="00F21603">
        <w:t>outlines the research methodology, including data collection and analytical procedures</w:t>
      </w:r>
      <w:r w:rsidR="00E51D6B">
        <w:t xml:space="preserve"> followed by the result section</w:t>
      </w:r>
      <w:r w:rsidRPr="00F21603">
        <w:t xml:space="preserve"> presents the empirical findings. </w:t>
      </w:r>
      <w:r w:rsidR="00E51D6B">
        <w:t>Next section</w:t>
      </w:r>
      <w:r w:rsidRPr="00F21603">
        <w:t xml:space="preserve"> discusses theoretical, practical, and policy implications. Finally, </w:t>
      </w:r>
      <w:r w:rsidR="00E51D6B">
        <w:t>the article</w:t>
      </w:r>
      <w:r w:rsidRPr="00F21603">
        <w:t xml:space="preserve"> concludes with reflections on limitations and future research directions.</w:t>
      </w:r>
    </w:p>
    <w:p w:rsidR="00AD3428" w:rsidRDefault="00AD3428" w:rsidP="00E26366">
      <w:pPr>
        <w:pStyle w:val="NormalWeb"/>
        <w:spacing w:line="480" w:lineRule="auto"/>
        <w:jc w:val="both"/>
      </w:pPr>
    </w:p>
    <w:p w:rsidR="00AD3428" w:rsidRDefault="00AD3428" w:rsidP="00E26366">
      <w:pPr>
        <w:pStyle w:val="NormalWeb"/>
        <w:spacing w:line="480" w:lineRule="auto"/>
        <w:jc w:val="both"/>
      </w:pPr>
    </w:p>
    <w:p w:rsidR="00AD3428" w:rsidRDefault="00AD3428" w:rsidP="00E26366">
      <w:pPr>
        <w:pStyle w:val="NormalWeb"/>
        <w:spacing w:line="480" w:lineRule="auto"/>
        <w:jc w:val="both"/>
      </w:pPr>
    </w:p>
    <w:p w:rsidR="0060619C" w:rsidRDefault="00E51D6B" w:rsidP="00E26366">
      <w:pPr>
        <w:pStyle w:val="NormalWeb"/>
        <w:numPr>
          <w:ilvl w:val="0"/>
          <w:numId w:val="1"/>
        </w:numPr>
        <w:spacing w:line="480" w:lineRule="auto"/>
        <w:jc w:val="both"/>
        <w:rPr>
          <w:b/>
          <w:bCs/>
        </w:rPr>
      </w:pPr>
      <w:r w:rsidRPr="00E51D6B">
        <w:rPr>
          <w:b/>
          <w:bCs/>
        </w:rPr>
        <w:lastRenderedPageBreak/>
        <w:t>Literature Review and Theoretical Underpinning</w:t>
      </w:r>
    </w:p>
    <w:p w:rsidR="00E118E4" w:rsidRPr="00E118E4" w:rsidRDefault="00E118E4" w:rsidP="00E26366">
      <w:pPr>
        <w:spacing w:line="480" w:lineRule="auto"/>
        <w:ind w:left="360"/>
        <w:jc w:val="both"/>
        <w:rPr>
          <w:rFonts w:ascii="Times New Roman" w:eastAsia="Times New Roman" w:hAnsi="Times New Roman" w:cs="Times New Roman"/>
          <w:sz w:val="24"/>
          <w:szCs w:val="24"/>
        </w:rPr>
      </w:pPr>
      <w:r w:rsidRPr="00E118E4">
        <w:rPr>
          <w:rFonts w:ascii="Times New Roman" w:eastAsia="Times New Roman" w:hAnsi="Times New Roman" w:cs="Times New Roman"/>
          <w:b/>
          <w:bCs/>
          <w:color w:val="000000"/>
          <w:sz w:val="26"/>
          <w:szCs w:val="26"/>
        </w:rPr>
        <w:t>2.1</w:t>
      </w:r>
      <w:r w:rsidR="00EC36F4">
        <w:rPr>
          <w:rFonts w:ascii="Times New Roman" w:eastAsia="Times New Roman" w:hAnsi="Times New Roman" w:cs="Times New Roman"/>
          <w:b/>
          <w:bCs/>
          <w:color w:val="000000"/>
          <w:sz w:val="26"/>
          <w:szCs w:val="26"/>
        </w:rPr>
        <w:t xml:space="preserve"> </w:t>
      </w:r>
      <w:r w:rsidRPr="00E118E4">
        <w:rPr>
          <w:rFonts w:ascii="Times New Roman" w:eastAsia="Times New Roman" w:hAnsi="Times New Roman" w:cs="Times New Roman"/>
          <w:b/>
          <w:bCs/>
          <w:color w:val="000000"/>
          <w:sz w:val="26"/>
          <w:szCs w:val="26"/>
        </w:rPr>
        <w:t>Theoretical Background</w:t>
      </w:r>
    </w:p>
    <w:p w:rsidR="00E118E4" w:rsidRPr="00E118E4" w:rsidRDefault="00E118E4" w:rsidP="00E26366">
      <w:pPr>
        <w:spacing w:line="480" w:lineRule="auto"/>
        <w:jc w:val="both"/>
        <w:rPr>
          <w:rFonts w:ascii="Times New Roman" w:eastAsia="Times New Roman" w:hAnsi="Times New Roman" w:cs="Times New Roman"/>
          <w:sz w:val="24"/>
          <w:szCs w:val="24"/>
        </w:rPr>
      </w:pPr>
      <w:r w:rsidRPr="00E118E4">
        <w:rPr>
          <w:rFonts w:ascii="Times New Roman" w:eastAsia="Times New Roman" w:hAnsi="Times New Roman" w:cs="Times New Roman"/>
          <w:color w:val="000000"/>
          <w:sz w:val="26"/>
          <w:szCs w:val="26"/>
        </w:rPr>
        <w:t>The theoretical framework for this study is primarily based on the theory of dynamic capability and the theory of resource orchestration capability. </w:t>
      </w:r>
    </w:p>
    <w:p w:rsidR="00E118E4" w:rsidRDefault="00E118E4" w:rsidP="00E26366">
      <w:pPr>
        <w:spacing w:line="480" w:lineRule="auto"/>
        <w:jc w:val="both"/>
        <w:rPr>
          <w:rFonts w:ascii="Times New Roman" w:eastAsia="Times New Roman" w:hAnsi="Times New Roman" w:cs="Times New Roman"/>
          <w:b/>
          <w:bCs/>
          <w:color w:val="000000"/>
          <w:sz w:val="26"/>
          <w:szCs w:val="26"/>
        </w:rPr>
      </w:pPr>
      <w:r w:rsidRPr="00E118E4">
        <w:rPr>
          <w:rFonts w:ascii="Times New Roman" w:eastAsia="Times New Roman" w:hAnsi="Times New Roman" w:cs="Times New Roman"/>
          <w:b/>
          <w:bCs/>
          <w:color w:val="000000"/>
          <w:sz w:val="26"/>
          <w:szCs w:val="26"/>
        </w:rPr>
        <w:t xml:space="preserve">Dynamic Capability </w:t>
      </w:r>
      <w:r>
        <w:rPr>
          <w:rFonts w:ascii="Times New Roman" w:eastAsia="Times New Roman" w:hAnsi="Times New Roman" w:cs="Times New Roman"/>
          <w:b/>
          <w:bCs/>
          <w:color w:val="000000"/>
          <w:sz w:val="26"/>
          <w:szCs w:val="26"/>
        </w:rPr>
        <w:t>View</w:t>
      </w:r>
    </w:p>
    <w:p w:rsidR="00E118E4" w:rsidRDefault="00E118E4" w:rsidP="00E26366">
      <w:pPr>
        <w:pStyle w:val="NormalWeb"/>
        <w:spacing w:line="480" w:lineRule="auto"/>
        <w:jc w:val="both"/>
      </w:pPr>
      <w:r>
        <w:t xml:space="preserve">The Dynamic Capabilities View (DCV) has emerged as a prominent theoretical framework within strategic management for explaining how firms navigate and adapt to rapidly changing technological and market environments (Teece et al., </w:t>
      </w:r>
      <w:r w:rsidR="00355817">
        <w:t>1997; Eisenhardt &amp; Martin, 2000</w:t>
      </w:r>
      <w:r>
        <w:t>). According to DCV, organizations must continuously develop, integrate, and reconfigure internal competencies to sustain competitive advantage in turbulent conditions (Teece, 2007). Central to this perspective are higher-order dynamic capabilities—sensing, seizing, and reconfiguring—which enable firms to detect environmental changes, capitalize on emerging opportunities, and reconfigure resources accordingly to respond effectively to disruption and change (Teece, 2007, 2018).</w:t>
      </w:r>
    </w:p>
    <w:p w:rsidR="00E118E4" w:rsidRDefault="00E118E4" w:rsidP="00E26366">
      <w:pPr>
        <w:pStyle w:val="NormalWeb"/>
        <w:spacing w:line="480" w:lineRule="auto"/>
        <w:jc w:val="both"/>
      </w:pPr>
      <w:r>
        <w:t xml:space="preserve">The relevance of DCV has been well-documented in the context of organizational resilience, where its principles align with the need to adapt swiftly and recover from adverse events (O’Reilly &amp; Tushman, 2013; Bag et al., 2019; </w:t>
      </w:r>
      <w:proofErr w:type="spellStart"/>
      <w:r>
        <w:t>Irfan</w:t>
      </w:r>
      <w:proofErr w:type="spellEnd"/>
      <w:r>
        <w:t xml:space="preserve"> et al., 2022; Ali et al., 2022). Dynamic capabilities influence both the speed and degree of an organization’s response to uncertainty, suggesting a strong theoretical linkage between DCV and resilience-building (Teece et al., 2016). Furthermore, scholars have applied DCV to investigate related constructs such as organizational agility, ambidexterity, and resource orchestration (O’Reilly &amp; Tushman, 2008; Warner &amp; Wäger, 2019; Russell, 2015; </w:t>
      </w:r>
      <w:proofErr w:type="spellStart"/>
      <w:r>
        <w:t>Blome</w:t>
      </w:r>
      <w:proofErr w:type="spellEnd"/>
      <w:r>
        <w:t xml:space="preserve"> et al., 2013b; </w:t>
      </w:r>
      <w:proofErr w:type="spellStart"/>
      <w:r>
        <w:t>Gligor</w:t>
      </w:r>
      <w:proofErr w:type="spellEnd"/>
      <w:r>
        <w:t xml:space="preserve"> et al., 2015), reinforcing its applicability to a broad range of strategic challenges.</w:t>
      </w:r>
    </w:p>
    <w:p w:rsidR="00E118E4" w:rsidRDefault="00E118E4" w:rsidP="00E26366">
      <w:pPr>
        <w:pStyle w:val="NormalWeb"/>
        <w:spacing w:line="480" w:lineRule="auto"/>
        <w:jc w:val="both"/>
      </w:pPr>
      <w:r>
        <w:lastRenderedPageBreak/>
        <w:t xml:space="preserve">In alignment with this perspective, the present study employs DCV as a theoretical foundation to explore the interrelationships between ambidexterity, agility, </w:t>
      </w:r>
      <w:r w:rsidR="00EC36F4">
        <w:t>organizational</w:t>
      </w:r>
      <w:r>
        <w:t xml:space="preserve"> resilience, and resource orchestration capability. Specifically, it is theorized that agility positively influences resilience, with resource orchestration serving as a mediating mechanism. These capabilities collectively enhance organizational resilience and provide a foundation for sustained competitive advantage in dynamic contexts (Teece, 2007, 2018; Teece et al., 2016; </w:t>
      </w:r>
      <w:proofErr w:type="spellStart"/>
      <w:r>
        <w:t>Bahrami</w:t>
      </w:r>
      <w:proofErr w:type="spellEnd"/>
      <w:r>
        <w:t xml:space="preserve"> &amp; </w:t>
      </w:r>
      <w:proofErr w:type="spellStart"/>
      <w:r>
        <w:t>Shokouhyar</w:t>
      </w:r>
      <w:proofErr w:type="spellEnd"/>
      <w:r>
        <w:t xml:space="preserve">, 2021; </w:t>
      </w:r>
      <w:proofErr w:type="spellStart"/>
      <w:r>
        <w:t>Dovbischuk</w:t>
      </w:r>
      <w:proofErr w:type="spellEnd"/>
      <w:r>
        <w:t xml:space="preserve">, 2022; </w:t>
      </w:r>
      <w:proofErr w:type="spellStart"/>
      <w:r>
        <w:t>Kähkönen</w:t>
      </w:r>
      <w:proofErr w:type="spellEnd"/>
      <w:r>
        <w:t xml:space="preserve"> et al., 2023; Yu et al., 2019).</w:t>
      </w:r>
    </w:p>
    <w:p w:rsidR="00E118E4" w:rsidRPr="00EF5E73" w:rsidRDefault="00E118E4" w:rsidP="00E26366">
      <w:pPr>
        <w:spacing w:line="480" w:lineRule="auto"/>
        <w:jc w:val="both"/>
        <w:rPr>
          <w:rFonts w:ascii="Times New Roman" w:eastAsia="Times New Roman" w:hAnsi="Times New Roman" w:cs="Times New Roman"/>
          <w:sz w:val="24"/>
          <w:szCs w:val="24"/>
        </w:rPr>
      </w:pPr>
      <w:r w:rsidRPr="00EF5E73">
        <w:rPr>
          <w:rFonts w:ascii="Times New Roman" w:eastAsia="Times New Roman" w:hAnsi="Times New Roman" w:cs="Times New Roman"/>
          <w:b/>
          <w:bCs/>
          <w:color w:val="000000"/>
          <w:sz w:val="26"/>
          <w:szCs w:val="26"/>
        </w:rPr>
        <w:t>Resource Orchestration Capability</w:t>
      </w:r>
    </w:p>
    <w:p w:rsidR="00E118E4" w:rsidRDefault="00E118E4" w:rsidP="00E26366">
      <w:pPr>
        <w:pStyle w:val="NormalWeb"/>
        <w:spacing w:line="480" w:lineRule="auto"/>
        <w:jc w:val="both"/>
      </w:pPr>
      <w:r>
        <w:t>Resource Orchestration Theory (ROT), developed as an extension of Resource-Based Theory (RBT), provides a more nuanced understanding of how firms create value through strategic management of their internal resources (</w:t>
      </w:r>
      <w:proofErr w:type="spellStart"/>
      <w:r>
        <w:t>Sirmon</w:t>
      </w:r>
      <w:proofErr w:type="spellEnd"/>
      <w:r>
        <w:t xml:space="preserve"> et al., 2011). One of the key criticisms of RBT is its limited focus on the managerial role in converting resources into organizational capabilities that deliver consumer value (</w:t>
      </w:r>
      <w:proofErr w:type="spellStart"/>
      <w:r>
        <w:t>Hitt</w:t>
      </w:r>
      <w:proofErr w:type="spellEnd"/>
      <w:r>
        <w:t xml:space="preserve">, 2011; </w:t>
      </w:r>
      <w:proofErr w:type="spellStart"/>
      <w:r>
        <w:t>Sirmon</w:t>
      </w:r>
      <w:proofErr w:type="spellEnd"/>
      <w:r>
        <w:t xml:space="preserve"> et al., 2011). ROT addresses this gap by highlighting how </w:t>
      </w:r>
      <w:proofErr w:type="gramStart"/>
      <w:r>
        <w:t>managers</w:t>
      </w:r>
      <w:proofErr w:type="gramEnd"/>
      <w:r>
        <w:t xml:space="preserve"> structure, bundle, and leverage resources not only to enhance firm performance but also to better meet changing consumer needs and expectations, thereby contributing to long-term competitiveness and brand resilience.</w:t>
      </w:r>
    </w:p>
    <w:p w:rsidR="00E118E4" w:rsidRDefault="00E118E4" w:rsidP="00E26366">
      <w:pPr>
        <w:pStyle w:val="NormalWeb"/>
        <w:spacing w:line="480" w:lineRule="auto"/>
        <w:jc w:val="both"/>
      </w:pPr>
      <w:r>
        <w:t xml:space="preserve">In alignment with </w:t>
      </w:r>
      <w:proofErr w:type="spellStart"/>
      <w:r>
        <w:t>Kristoffersen</w:t>
      </w:r>
      <w:proofErr w:type="spellEnd"/>
      <w:r>
        <w:t xml:space="preserve"> et al. (2021), this study adopts the firm as the unit of analysis, emphasizing how consumer-facing capabilities—such as responsiveness, customization, and experiential delivery—can be developed through effective resource orchestration. Within the consumer research context, ROT’s three processes are essential for transforming firm resources (e.g., frontline employees, digital platforms, service systems) into market-oriented capabilities such as consumer alertness and agile adaptation. These capabilities allow firms to anticipate and respond to shifts in consumer behavior during market disruptions. As noted by </w:t>
      </w:r>
      <w:proofErr w:type="spellStart"/>
      <w:r>
        <w:lastRenderedPageBreak/>
        <w:t>Ambulkar</w:t>
      </w:r>
      <w:proofErr w:type="spellEnd"/>
      <w:r>
        <w:t xml:space="preserve"> et al. (2015), the mere possession of resources is inadequate for achieving consumer-centric resilience. Thus, this study proposes that resource orchestration capability fully mediates the relationship between agility and organizational resilience, enabling firms to sustain consumer trust and loyalty in dynamic market environments.</w:t>
      </w:r>
    </w:p>
    <w:p w:rsidR="00E118E4" w:rsidRPr="00EF5E73" w:rsidRDefault="00E118E4" w:rsidP="00E26366">
      <w:pPr>
        <w:spacing w:line="480" w:lineRule="auto"/>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6"/>
          <w:szCs w:val="26"/>
        </w:rPr>
        <w:t>2.2</w:t>
      </w:r>
      <w:r>
        <w:rPr>
          <w:rFonts w:ascii="Times New Roman" w:eastAsia="Times New Roman" w:hAnsi="Times New Roman" w:cs="Times New Roman"/>
          <w:b/>
          <w:bCs/>
          <w:color w:val="000000"/>
          <w:sz w:val="26"/>
          <w:szCs w:val="26"/>
        </w:rPr>
        <w:tab/>
      </w:r>
      <w:r w:rsidR="00EC36F4">
        <w:rPr>
          <w:rFonts w:ascii="Times New Roman" w:eastAsia="Times New Roman" w:hAnsi="Times New Roman" w:cs="Times New Roman"/>
          <w:b/>
          <w:bCs/>
          <w:color w:val="000000"/>
          <w:sz w:val="26"/>
          <w:szCs w:val="26"/>
        </w:rPr>
        <w:t>Environmental Dynamism</w:t>
      </w:r>
      <w:r w:rsidRPr="00EF5E73">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and</w:t>
      </w:r>
      <w:r w:rsidRPr="00EF5E73">
        <w:rPr>
          <w:rFonts w:ascii="Times New Roman" w:eastAsia="Times New Roman" w:hAnsi="Times New Roman" w:cs="Times New Roman"/>
          <w:b/>
          <w:bCs/>
          <w:color w:val="000000"/>
          <w:sz w:val="26"/>
          <w:szCs w:val="26"/>
        </w:rPr>
        <w:t xml:space="preserve"> Organisational Resilience</w:t>
      </w:r>
    </w:p>
    <w:p w:rsidR="00E118E4" w:rsidRDefault="00E118E4" w:rsidP="00E26366">
      <w:pPr>
        <w:pStyle w:val="NormalWeb"/>
        <w:spacing w:line="480" w:lineRule="auto"/>
        <w:jc w:val="both"/>
      </w:pPr>
      <w:r>
        <w:t xml:space="preserve">In today’s intensely competitive and technologically dynamic environment, organizational resilience to </w:t>
      </w:r>
      <w:r w:rsidR="00EC36F4">
        <w:t>environmental dynamism (ENVD) comprising of technologic</w:t>
      </w:r>
      <w:r>
        <w:t xml:space="preserve">al disruptions has become a critical strategic imperative. According to the contingency theory of organizational strategy, firms must align their internal capabilities and strategic responses with prevailing external conditions to remain effective and competitive (Donaldson, 2001; Lawrence &amp; </w:t>
      </w:r>
      <w:proofErr w:type="spellStart"/>
      <w:r>
        <w:t>Lorsch</w:t>
      </w:r>
      <w:proofErr w:type="spellEnd"/>
      <w:r>
        <w:t xml:space="preserve">, 1967). In this context, the emergence of </w:t>
      </w:r>
      <w:r w:rsidR="003C1E97">
        <w:t>ENVD</w:t>
      </w:r>
      <w:r>
        <w:t xml:space="preserve"> - characterized by rapid, unpredictable, and often disruptive technological changes - has become a focal point in understanding the complex and volatile digital ecosystem (</w:t>
      </w:r>
      <w:proofErr w:type="spellStart"/>
      <w:r>
        <w:t>Sambamurthy</w:t>
      </w:r>
      <w:proofErr w:type="spellEnd"/>
      <w:r>
        <w:t xml:space="preserve">, </w:t>
      </w:r>
      <w:proofErr w:type="spellStart"/>
      <w:r>
        <w:t>Bharadwaj</w:t>
      </w:r>
      <w:proofErr w:type="spellEnd"/>
      <w:r>
        <w:t xml:space="preserve">, &amp; Grover, 2003; Li et al., 2018). </w:t>
      </w:r>
      <w:r w:rsidR="003C1E97">
        <w:t>ENVD</w:t>
      </w:r>
      <w:r>
        <w:t xml:space="preserve"> exerts significant pressure on firms by continuously altering competitive dynamics, consumer expectations, and operational paradigms.</w:t>
      </w:r>
    </w:p>
    <w:p w:rsidR="00E118E4" w:rsidRDefault="00E118E4" w:rsidP="00E26366">
      <w:pPr>
        <w:pStyle w:val="NormalWeb"/>
        <w:spacing w:line="480" w:lineRule="auto"/>
        <w:jc w:val="both"/>
      </w:pPr>
      <w:r>
        <w:t xml:space="preserve">To sustain performance under such conditions, organizations increasingly depend on technologies, data analytics, and automation tools to enhance decision-making, </w:t>
      </w:r>
      <w:proofErr w:type="gramStart"/>
      <w:r>
        <w:t>innovate</w:t>
      </w:r>
      <w:proofErr w:type="gramEnd"/>
      <w:r>
        <w:t xml:space="preserve"> service delivery, and achieve operational excellence (</w:t>
      </w:r>
      <w:proofErr w:type="spellStart"/>
      <w:r>
        <w:t>Bharadwaj</w:t>
      </w:r>
      <w:proofErr w:type="spellEnd"/>
      <w:r>
        <w:t xml:space="preserve"> et al., 2013; Kane et al., 2015). However, the chaotic nature of </w:t>
      </w:r>
      <w:r w:rsidR="00EC36F4">
        <w:t>technologica</w:t>
      </w:r>
      <w:r>
        <w:t>l turbulence may also provoke organizational anxiety and diminish strategic clarity, potentially impairing performance (Li et al., 202</w:t>
      </w:r>
      <w:r w:rsidR="00566A29">
        <w:t>2</w:t>
      </w:r>
      <w:r>
        <w:t>). As a result, building resilience has become essential for navigating environmental volatility and uncertainty. Organizational Resilience (</w:t>
      </w:r>
      <w:r w:rsidR="003C1E97">
        <w:t>OR</w:t>
      </w:r>
      <w:r>
        <w:t>) refers to an organization’s capacity to anticipate, absorb, and adapt to disruptions while maintaining core functions and competitive positioning (</w:t>
      </w:r>
      <w:proofErr w:type="spellStart"/>
      <w:r>
        <w:t>Lengnick</w:t>
      </w:r>
      <w:proofErr w:type="spellEnd"/>
      <w:r>
        <w:t xml:space="preserve">-Hall, Beck, &amp; </w:t>
      </w:r>
      <w:proofErr w:type="spellStart"/>
      <w:r>
        <w:t>Lengnick</w:t>
      </w:r>
      <w:proofErr w:type="spellEnd"/>
      <w:r>
        <w:t xml:space="preserve">-Hall, 2011; Gregory et al., 2020). </w:t>
      </w:r>
      <w:r>
        <w:lastRenderedPageBreak/>
        <w:t>Achieving such resilience necessitates the continuous refinement of operational capabilities, optimization of production systems, enhancem</w:t>
      </w:r>
      <w:r w:rsidR="00EC36F4">
        <w:t xml:space="preserve">ent of organizational </w:t>
      </w:r>
      <w:r>
        <w:t>agility, and the strategic orchestration of resources to ensure alignment with dynamic technological trajectories.</w:t>
      </w:r>
    </w:p>
    <w:p w:rsidR="00E118E4" w:rsidRDefault="00E118E4" w:rsidP="00E26366">
      <w:pPr>
        <w:spacing w:line="480" w:lineRule="auto"/>
        <w:jc w:val="both"/>
        <w:rPr>
          <w:rFonts w:ascii="Times New Roman" w:eastAsia="Times New Roman" w:hAnsi="Times New Roman" w:cs="Times New Roman"/>
          <w:b/>
          <w:bCs/>
          <w:color w:val="000000"/>
          <w:sz w:val="26"/>
          <w:szCs w:val="26"/>
        </w:rPr>
      </w:pPr>
      <w:r w:rsidRPr="00EF5E73">
        <w:rPr>
          <w:rFonts w:ascii="Times New Roman" w:eastAsia="Times New Roman" w:hAnsi="Times New Roman" w:cs="Times New Roman"/>
          <w:b/>
          <w:bCs/>
          <w:color w:val="000000"/>
          <w:sz w:val="26"/>
          <w:szCs w:val="26"/>
        </w:rPr>
        <w:t>2.</w:t>
      </w:r>
      <w:r>
        <w:rPr>
          <w:rFonts w:ascii="Times New Roman" w:eastAsia="Times New Roman" w:hAnsi="Times New Roman" w:cs="Times New Roman"/>
          <w:b/>
          <w:bCs/>
          <w:color w:val="000000"/>
          <w:sz w:val="26"/>
          <w:szCs w:val="26"/>
        </w:rPr>
        <w:t>3</w:t>
      </w:r>
      <w:r w:rsidRPr="00EF5E73">
        <w:rPr>
          <w:rFonts w:ascii="Times New Roman" w:eastAsia="Times New Roman" w:hAnsi="Times New Roman" w:cs="Times New Roman"/>
          <w:b/>
          <w:bCs/>
          <w:color w:val="000000"/>
          <w:sz w:val="26"/>
          <w:szCs w:val="26"/>
        </w:rPr>
        <w:t xml:space="preserve"> </w:t>
      </w:r>
      <w:r w:rsidRPr="00EF5E73">
        <w:rPr>
          <w:rFonts w:ascii="Times New Roman" w:eastAsia="Times New Roman" w:hAnsi="Times New Roman" w:cs="Times New Roman"/>
          <w:b/>
          <w:bCs/>
          <w:color w:val="000000"/>
          <w:sz w:val="26"/>
          <w:szCs w:val="26"/>
        </w:rPr>
        <w:tab/>
        <w:t>Ambidexterity</w:t>
      </w:r>
      <w:r w:rsidR="00EC36F4">
        <w:rPr>
          <w:rFonts w:ascii="Times New Roman" w:eastAsia="Times New Roman" w:hAnsi="Times New Roman" w:cs="Times New Roman"/>
          <w:b/>
          <w:bCs/>
          <w:color w:val="000000"/>
          <w:sz w:val="26"/>
          <w:szCs w:val="26"/>
        </w:rPr>
        <w:t xml:space="preserve"> (</w:t>
      </w:r>
      <w:r>
        <w:rPr>
          <w:rFonts w:ascii="Times New Roman" w:eastAsia="Times New Roman" w:hAnsi="Times New Roman" w:cs="Times New Roman"/>
          <w:b/>
          <w:bCs/>
          <w:color w:val="000000"/>
          <w:sz w:val="26"/>
          <w:szCs w:val="26"/>
        </w:rPr>
        <w:t>AD)</w:t>
      </w:r>
    </w:p>
    <w:p w:rsidR="00E118E4" w:rsidRDefault="00E118E4" w:rsidP="00E26366">
      <w:pPr>
        <w:pStyle w:val="NormalWeb"/>
        <w:spacing w:line="480" w:lineRule="auto"/>
        <w:jc w:val="both"/>
      </w:pPr>
      <w:r>
        <w:t>Organizational ambidexterity has gained significant attention in the literature as a critical capability that enables firms to adapt and thrive in volatile and rapidly evolving environments (March, 1991; Tushman &amp; O’Reilly, 1996). Defined as the ability to simultaneously pursue both exploratory and exploitative strategies, ambidexterity allows organizations to innovate while efficiently leveraging existing resources and competencies (</w:t>
      </w:r>
      <w:proofErr w:type="spellStart"/>
      <w:r>
        <w:t>Rialti</w:t>
      </w:r>
      <w:proofErr w:type="spellEnd"/>
      <w:r>
        <w:t xml:space="preserve"> et al., 2018). Within the domain of information technology and information systems (IT/IS), exploration refers to the pursuit of novel digital technologies and solutions, while exploitation involves the refinement and efficient utilization of current technological infrastructures to meet </w:t>
      </w:r>
      <w:proofErr w:type="spellStart"/>
      <w:r>
        <w:t>ongoing</w:t>
      </w:r>
      <w:proofErr w:type="spellEnd"/>
      <w:r>
        <w:t xml:space="preserve"> business needs (</w:t>
      </w:r>
      <w:proofErr w:type="spellStart"/>
      <w:r>
        <w:t>Teubner</w:t>
      </w:r>
      <w:proofErr w:type="spellEnd"/>
      <w:r>
        <w:t xml:space="preserve"> &amp; </w:t>
      </w:r>
      <w:proofErr w:type="spellStart"/>
      <w:r>
        <w:t>Stockhinger</w:t>
      </w:r>
      <w:proofErr w:type="spellEnd"/>
      <w:r>
        <w:t>, 2020). This dual capability is particularly relevant in the digital era, where firms must continuously sense and respond to changing consumer preferences and tech</w:t>
      </w:r>
      <w:r w:rsidR="00EC36F4">
        <w:t>nological advancements. A</w:t>
      </w:r>
      <w:r>
        <w:t xml:space="preserve">mbidexterity thus entails a dynamic balance between the optimization of established </w:t>
      </w:r>
      <w:r w:rsidR="00EC36F4">
        <w:t>technology</w:t>
      </w:r>
      <w:r>
        <w:t xml:space="preserve"> tools and the proactive experimentation with emerging technologies, fostering both operational efficiency and consumer-centric innovation (Dixon et al., 2017; </w:t>
      </w:r>
      <w:proofErr w:type="spellStart"/>
      <w:r>
        <w:t>Salmela</w:t>
      </w:r>
      <w:proofErr w:type="spellEnd"/>
      <w:r>
        <w:t xml:space="preserve"> et al., 2022). From a consumer research perspective, this capability enhances firms' responsiveness to shifting market demands, thereby improving customer satisfaction and long-term competitiveness (</w:t>
      </w:r>
      <w:proofErr w:type="spellStart"/>
      <w:r>
        <w:t>Verhoef</w:t>
      </w:r>
      <w:proofErr w:type="spellEnd"/>
      <w:r>
        <w:t xml:space="preserve"> et al., 2021; </w:t>
      </w:r>
      <w:proofErr w:type="spellStart"/>
      <w:r>
        <w:t>Bharadwaj</w:t>
      </w:r>
      <w:proofErr w:type="spellEnd"/>
      <w:r>
        <w:t xml:space="preserve"> et al., 2013).</w:t>
      </w:r>
    </w:p>
    <w:p w:rsidR="00AD3428" w:rsidRDefault="00AD3428" w:rsidP="00E26366">
      <w:pPr>
        <w:pStyle w:val="NormalWeb"/>
        <w:spacing w:line="480" w:lineRule="auto"/>
        <w:jc w:val="both"/>
      </w:pPr>
    </w:p>
    <w:p w:rsidR="00AD3428" w:rsidRPr="00EF5E73" w:rsidRDefault="00AD3428" w:rsidP="00E26366">
      <w:pPr>
        <w:pStyle w:val="NormalWeb"/>
        <w:spacing w:line="480" w:lineRule="auto"/>
        <w:jc w:val="both"/>
      </w:pPr>
    </w:p>
    <w:p w:rsidR="00E118E4" w:rsidRDefault="00E118E4" w:rsidP="00E26366">
      <w:pPr>
        <w:spacing w:line="480" w:lineRule="auto"/>
        <w:jc w:val="both"/>
        <w:rPr>
          <w:rFonts w:ascii="Times New Roman" w:eastAsia="Times New Roman" w:hAnsi="Times New Roman" w:cs="Times New Roman"/>
          <w:b/>
          <w:bCs/>
          <w:color w:val="000000"/>
          <w:sz w:val="26"/>
          <w:szCs w:val="26"/>
        </w:rPr>
      </w:pPr>
      <w:r w:rsidRPr="00EF5E73">
        <w:rPr>
          <w:rFonts w:ascii="Times New Roman" w:eastAsia="Times New Roman" w:hAnsi="Times New Roman" w:cs="Times New Roman"/>
          <w:b/>
          <w:bCs/>
          <w:color w:val="000000"/>
          <w:sz w:val="26"/>
          <w:szCs w:val="26"/>
        </w:rPr>
        <w:lastRenderedPageBreak/>
        <w:t>2.</w:t>
      </w:r>
      <w:r>
        <w:rPr>
          <w:rFonts w:ascii="Times New Roman" w:eastAsia="Times New Roman" w:hAnsi="Times New Roman" w:cs="Times New Roman"/>
          <w:b/>
          <w:bCs/>
          <w:color w:val="000000"/>
          <w:sz w:val="26"/>
          <w:szCs w:val="26"/>
        </w:rPr>
        <w:t>4</w:t>
      </w:r>
      <w:r w:rsidRPr="00EF5E73">
        <w:rPr>
          <w:rFonts w:ascii="Times New Roman" w:eastAsia="Times New Roman" w:hAnsi="Times New Roman" w:cs="Times New Roman"/>
          <w:b/>
          <w:bCs/>
          <w:color w:val="000000"/>
          <w:sz w:val="26"/>
          <w:szCs w:val="26"/>
        </w:rPr>
        <w:tab/>
      </w:r>
      <w:r w:rsidR="00EC36F4">
        <w:rPr>
          <w:rFonts w:ascii="Times New Roman" w:eastAsia="Times New Roman" w:hAnsi="Times New Roman" w:cs="Times New Roman"/>
          <w:b/>
          <w:bCs/>
          <w:color w:val="000000"/>
          <w:sz w:val="26"/>
          <w:szCs w:val="26"/>
        </w:rPr>
        <w:t>Environmental Dynamism</w:t>
      </w:r>
      <w:r>
        <w:rPr>
          <w:rFonts w:ascii="Times New Roman" w:eastAsia="Times New Roman" w:hAnsi="Times New Roman" w:cs="Times New Roman"/>
          <w:b/>
          <w:bCs/>
          <w:color w:val="000000"/>
          <w:sz w:val="26"/>
          <w:szCs w:val="26"/>
        </w:rPr>
        <w:t xml:space="preserve"> (</w:t>
      </w:r>
      <w:r w:rsidR="003C1E97">
        <w:rPr>
          <w:rFonts w:ascii="Times New Roman" w:eastAsia="Times New Roman" w:hAnsi="Times New Roman" w:cs="Times New Roman"/>
          <w:b/>
          <w:bCs/>
          <w:color w:val="000000"/>
          <w:sz w:val="26"/>
          <w:szCs w:val="26"/>
        </w:rPr>
        <w:t>ENVD</w:t>
      </w:r>
      <w:r>
        <w:rPr>
          <w:rFonts w:ascii="Times New Roman" w:eastAsia="Times New Roman" w:hAnsi="Times New Roman" w:cs="Times New Roman"/>
          <w:b/>
          <w:bCs/>
          <w:color w:val="000000"/>
          <w:sz w:val="26"/>
          <w:szCs w:val="26"/>
        </w:rPr>
        <w:t>)</w:t>
      </w:r>
    </w:p>
    <w:p w:rsidR="00E118E4" w:rsidRDefault="00B031D4" w:rsidP="00E26366">
      <w:pPr>
        <w:pStyle w:val="NormalWeb"/>
        <w:spacing w:line="480" w:lineRule="auto"/>
        <w:jc w:val="both"/>
      </w:pPr>
      <w:r>
        <w:t xml:space="preserve">The accelerating pace of technological advancement is fundamentally reshaping the competitive landscape, compelling organizations to continuously adapt in order to sustain their market relevance (Evans, 2017). These frequent and unpredictable technological disruptions contribute to a broader phenomenon known as environmental </w:t>
      </w:r>
      <w:r w:rsidR="00EC36F4">
        <w:t>dynamism</w:t>
      </w:r>
      <w:r>
        <w:t xml:space="preserve">, which encompasses dynamic and uncertain changes in external conditions—such as evolving customer preferences, the emergence of novel technologies, and heightened competitive pressures (Dale </w:t>
      </w:r>
      <w:proofErr w:type="spellStart"/>
      <w:r>
        <w:t>Stoel</w:t>
      </w:r>
      <w:proofErr w:type="spellEnd"/>
      <w:r>
        <w:t xml:space="preserve"> &amp; </w:t>
      </w:r>
      <w:proofErr w:type="spellStart"/>
      <w:r>
        <w:t>Muhanna</w:t>
      </w:r>
      <w:proofErr w:type="spellEnd"/>
      <w:r>
        <w:t>, 2009). Although such external forces remain largely beyond an organization’s direct control, strategic foresight and adaptive planning can mitigate their impact and enable firms to respond more effectively (</w:t>
      </w:r>
      <w:proofErr w:type="spellStart"/>
      <w:r>
        <w:t>Arici</w:t>
      </w:r>
      <w:proofErr w:type="spellEnd"/>
      <w:r>
        <w:t xml:space="preserve"> &amp; </w:t>
      </w:r>
      <w:proofErr w:type="spellStart"/>
      <w:r>
        <w:t>Gok</w:t>
      </w:r>
      <w:proofErr w:type="spellEnd"/>
      <w:r>
        <w:t xml:space="preserve">, 2023). Within this context, environmental </w:t>
      </w:r>
      <w:r w:rsidR="00EC36F4">
        <w:t>dynamism</w:t>
      </w:r>
      <w:r>
        <w:t xml:space="preserve"> is commonly divided into two dimensions: market turbulence and technological turb</w:t>
      </w:r>
      <w:r w:rsidR="00D968A4">
        <w:t>ulence (</w:t>
      </w:r>
      <w:proofErr w:type="spellStart"/>
      <w:r w:rsidR="00D968A4">
        <w:t>Jaworski</w:t>
      </w:r>
      <w:proofErr w:type="spellEnd"/>
      <w:r w:rsidR="00D968A4">
        <w:t xml:space="preserve"> &amp; </w:t>
      </w:r>
      <w:proofErr w:type="spellStart"/>
      <w:r w:rsidR="00D968A4">
        <w:t>Kohli</w:t>
      </w:r>
      <w:proofErr w:type="spellEnd"/>
      <w:r w:rsidR="00D968A4">
        <w:t xml:space="preserve">, </w:t>
      </w:r>
      <w:proofErr w:type="gramStart"/>
      <w:r w:rsidR="00D968A4">
        <w:t>1993;</w:t>
      </w:r>
      <w:proofErr w:type="gramEnd"/>
      <w:r w:rsidR="00D968A4">
        <w:t>)</w:t>
      </w:r>
      <w:r>
        <w:t>. Technological turbulence, in particular, is defined as the rate and unpredictability of technological change within an industry, and has become increasingly salient in the digital era (</w:t>
      </w:r>
      <w:proofErr w:type="spellStart"/>
      <w:r>
        <w:t>Jaworski</w:t>
      </w:r>
      <w:proofErr w:type="spellEnd"/>
      <w:r>
        <w:t xml:space="preserve"> &amp; </w:t>
      </w:r>
      <w:proofErr w:type="spellStart"/>
      <w:r>
        <w:t>Kohli</w:t>
      </w:r>
      <w:proofErr w:type="spellEnd"/>
      <w:r>
        <w:t xml:space="preserve">, 1993). The current wave of </w:t>
      </w:r>
      <w:r w:rsidR="008E70B0">
        <w:t>t</w:t>
      </w:r>
      <w:r>
        <w:t xml:space="preserve">echnological turbulence is characterized by rapid innovation cycles, declining costs of technology adoption, evolving functionalities, and the emergence of disruptive digital platforms—each of which significantly alters consumer behavior and expectations (Day &amp; </w:t>
      </w:r>
      <w:proofErr w:type="spellStart"/>
      <w:r>
        <w:t>Schoemaker</w:t>
      </w:r>
      <w:proofErr w:type="spellEnd"/>
      <w:r>
        <w:t>, 2019). Understanding and navigating such turbulence is therefore essential for organizations aiming to foster consumer-centric innovation, sustain agility, and build long-term competitive advantage in an increasingly volatile digital environment.</w:t>
      </w:r>
    </w:p>
    <w:p w:rsidR="00AD3428" w:rsidRDefault="00AD3428" w:rsidP="00E26366">
      <w:pPr>
        <w:pStyle w:val="NormalWeb"/>
        <w:spacing w:line="480" w:lineRule="auto"/>
        <w:jc w:val="both"/>
      </w:pPr>
    </w:p>
    <w:p w:rsidR="00AD3428" w:rsidRPr="00EF5E73" w:rsidRDefault="00AD3428" w:rsidP="00E26366">
      <w:pPr>
        <w:pStyle w:val="NormalWeb"/>
        <w:spacing w:line="480" w:lineRule="auto"/>
        <w:jc w:val="both"/>
      </w:pPr>
    </w:p>
    <w:p w:rsidR="00E118E4" w:rsidRDefault="00E118E4" w:rsidP="00E26366">
      <w:pPr>
        <w:spacing w:line="480" w:lineRule="auto"/>
        <w:jc w:val="both"/>
        <w:rPr>
          <w:rFonts w:ascii="Times New Roman" w:eastAsia="Times New Roman" w:hAnsi="Times New Roman" w:cs="Times New Roman"/>
          <w:b/>
          <w:bCs/>
          <w:color w:val="000000"/>
          <w:sz w:val="26"/>
          <w:szCs w:val="26"/>
        </w:rPr>
      </w:pPr>
      <w:r w:rsidRPr="00EF5E73">
        <w:rPr>
          <w:rFonts w:ascii="Times New Roman" w:eastAsia="Times New Roman" w:hAnsi="Times New Roman" w:cs="Times New Roman"/>
          <w:b/>
          <w:bCs/>
          <w:color w:val="000000"/>
          <w:sz w:val="26"/>
          <w:szCs w:val="26"/>
        </w:rPr>
        <w:lastRenderedPageBreak/>
        <w:t>2.</w:t>
      </w:r>
      <w:r>
        <w:rPr>
          <w:rFonts w:ascii="Times New Roman" w:eastAsia="Times New Roman" w:hAnsi="Times New Roman" w:cs="Times New Roman"/>
          <w:b/>
          <w:bCs/>
          <w:color w:val="000000"/>
          <w:sz w:val="26"/>
          <w:szCs w:val="26"/>
        </w:rPr>
        <w:t>5</w:t>
      </w:r>
      <w:r w:rsidR="008E70B0">
        <w:rPr>
          <w:rFonts w:ascii="Times New Roman" w:eastAsia="Times New Roman" w:hAnsi="Times New Roman" w:cs="Times New Roman"/>
          <w:b/>
          <w:bCs/>
          <w:color w:val="000000"/>
          <w:sz w:val="26"/>
          <w:szCs w:val="26"/>
        </w:rPr>
        <w:t xml:space="preserve"> </w:t>
      </w:r>
      <w:r w:rsidR="008E70B0">
        <w:rPr>
          <w:rFonts w:ascii="Times New Roman" w:eastAsia="Times New Roman" w:hAnsi="Times New Roman" w:cs="Times New Roman"/>
          <w:b/>
          <w:bCs/>
          <w:color w:val="000000"/>
          <w:sz w:val="26"/>
          <w:szCs w:val="26"/>
        </w:rPr>
        <w:tab/>
      </w:r>
      <w:r w:rsidRPr="00EF5E73">
        <w:rPr>
          <w:rFonts w:ascii="Times New Roman" w:eastAsia="Times New Roman" w:hAnsi="Times New Roman" w:cs="Times New Roman"/>
          <w:b/>
          <w:bCs/>
          <w:color w:val="000000"/>
          <w:sz w:val="26"/>
          <w:szCs w:val="26"/>
        </w:rPr>
        <w:t>Agility</w:t>
      </w:r>
      <w:r>
        <w:rPr>
          <w:rFonts w:ascii="Times New Roman" w:eastAsia="Times New Roman" w:hAnsi="Times New Roman" w:cs="Times New Roman"/>
          <w:b/>
          <w:bCs/>
          <w:color w:val="000000"/>
          <w:sz w:val="26"/>
          <w:szCs w:val="26"/>
        </w:rPr>
        <w:t xml:space="preserve"> (</w:t>
      </w:r>
      <w:r w:rsidR="003C1E97">
        <w:rPr>
          <w:rFonts w:ascii="Times New Roman" w:eastAsia="Times New Roman" w:hAnsi="Times New Roman" w:cs="Times New Roman"/>
          <w:b/>
          <w:bCs/>
          <w:color w:val="000000"/>
          <w:sz w:val="26"/>
          <w:szCs w:val="26"/>
        </w:rPr>
        <w:t>AG</w:t>
      </w:r>
      <w:r>
        <w:rPr>
          <w:rFonts w:ascii="Times New Roman" w:eastAsia="Times New Roman" w:hAnsi="Times New Roman" w:cs="Times New Roman"/>
          <w:b/>
          <w:bCs/>
          <w:color w:val="000000"/>
          <w:sz w:val="26"/>
          <w:szCs w:val="26"/>
        </w:rPr>
        <w:t>)</w:t>
      </w:r>
    </w:p>
    <w:p w:rsidR="00B031D4" w:rsidRDefault="00B031D4" w:rsidP="00E26366">
      <w:pPr>
        <w:pStyle w:val="NormalWeb"/>
        <w:spacing w:line="480" w:lineRule="auto"/>
        <w:jc w:val="both"/>
      </w:pPr>
      <w:r>
        <w:t>Agility has emerged as a critical dynamic capability that enables organizations to detect shifts in their external environment and respond swiftly, strategically, and cost-effectively (</w:t>
      </w:r>
      <w:proofErr w:type="spellStart"/>
      <w:r>
        <w:t>Seo</w:t>
      </w:r>
      <w:proofErr w:type="spellEnd"/>
      <w:r>
        <w:t xml:space="preserve"> &amp; La Paz, 2008; </w:t>
      </w:r>
      <w:proofErr w:type="spellStart"/>
      <w:r>
        <w:t>Sambamurthy</w:t>
      </w:r>
      <w:proofErr w:type="spellEnd"/>
      <w:r>
        <w:t xml:space="preserve"> et al., 2003). In volatile and uncertain contexts, agility supports organizational resilience by allowing firms to continuously reconfigure capabilities, align resources, and adapt business processes to evolving conditions (Yusuf et al., 1999). Conceptually, agility comprises two interrelated components: sensing and responding (</w:t>
      </w:r>
      <w:proofErr w:type="spellStart"/>
      <w:r>
        <w:t>Pavlou</w:t>
      </w:r>
      <w:proofErr w:type="spellEnd"/>
      <w:r>
        <w:t xml:space="preserve"> &amp; El </w:t>
      </w:r>
      <w:proofErr w:type="spellStart"/>
      <w:r>
        <w:t>Sawy</w:t>
      </w:r>
      <w:proofErr w:type="spellEnd"/>
      <w:r>
        <w:t>, 2011; Roberts &amp; Grover, 2012). Sensing involves identifying and interpreting weak signals from the environment, assessing their implications, and anticipating change, while responding entails timely decision-making, resource mobilization, and execution of innovative actions (</w:t>
      </w:r>
      <w:proofErr w:type="spellStart"/>
      <w:r>
        <w:t>Seo</w:t>
      </w:r>
      <w:proofErr w:type="spellEnd"/>
      <w:r>
        <w:t xml:space="preserve"> &amp; La Paz, 2008). This dual capability enhances an organization's ability to capitalize on emerging opportunities and mitigate external t</w:t>
      </w:r>
      <w:r w:rsidR="008E70B0">
        <w:t xml:space="preserve">hreats, especially in disruptive and </w:t>
      </w:r>
      <w:r>
        <w:t>turbulent environments.</w:t>
      </w:r>
    </w:p>
    <w:p w:rsidR="00B031D4" w:rsidRDefault="00B031D4" w:rsidP="00E26366">
      <w:pPr>
        <w:pStyle w:val="NormalWeb"/>
        <w:spacing w:line="480" w:lineRule="auto"/>
        <w:jc w:val="both"/>
      </w:pPr>
      <w:r>
        <w:t xml:space="preserve">Building on this foundation, scholars in management have </w:t>
      </w:r>
      <w:r w:rsidR="00D968A4">
        <w:t>reconceptualised</w:t>
      </w:r>
      <w:r>
        <w:t xml:space="preserve"> agility as a </w:t>
      </w:r>
      <w:r w:rsidR="008E70B0">
        <w:t>dynamic</w:t>
      </w:r>
      <w:r>
        <w:t xml:space="preserve"> capability—referred to as </w:t>
      </w:r>
      <w:proofErr w:type="spellStart"/>
      <w:r w:rsidR="008E70B0">
        <w:t>organizaioan</w:t>
      </w:r>
      <w:r w:rsidRPr="003E05A0">
        <w:t>al</w:t>
      </w:r>
      <w:proofErr w:type="spellEnd"/>
      <w:r w:rsidRPr="003E05A0">
        <w:t xml:space="preserve"> agility</w:t>
      </w:r>
      <w:r>
        <w:t xml:space="preserve">—which emphasizes the strategic use of technologies </w:t>
      </w:r>
      <w:r w:rsidR="008E70B0">
        <w:t xml:space="preserve">and resources </w:t>
      </w:r>
      <w:r>
        <w:t>to enhance sensing and responding capabilities (</w:t>
      </w:r>
      <w:proofErr w:type="spellStart"/>
      <w:r>
        <w:t>Salmela</w:t>
      </w:r>
      <w:proofErr w:type="spellEnd"/>
      <w:r>
        <w:t xml:space="preserve"> et al., 2022). </w:t>
      </w:r>
      <w:r w:rsidR="008E70B0">
        <w:t>A</w:t>
      </w:r>
      <w:r>
        <w:t>gility is increasingly viewed as essential in today’s hyper</w:t>
      </w:r>
      <w:r w:rsidR="00D968A4">
        <w:t>-</w:t>
      </w:r>
      <w:r>
        <w:t xml:space="preserve">connected markets, where consumer expectations and technological advancements evolve rapidly. </w:t>
      </w:r>
      <w:proofErr w:type="gramStart"/>
      <w:r>
        <w:t>Effective  agility</w:t>
      </w:r>
      <w:proofErr w:type="gramEnd"/>
      <w:r>
        <w:t xml:space="preserve"> requires not only leveraging digital platforms and data infrastructure but also fostering a digital </w:t>
      </w:r>
      <w:proofErr w:type="spellStart"/>
      <w:r>
        <w:t>mindset</w:t>
      </w:r>
      <w:proofErr w:type="spellEnd"/>
      <w:r>
        <w:t xml:space="preserve"> and culture across all levels of the organization (</w:t>
      </w:r>
      <w:proofErr w:type="spellStart"/>
      <w:r>
        <w:t>Duvivier</w:t>
      </w:r>
      <w:proofErr w:type="spellEnd"/>
      <w:r>
        <w:t xml:space="preserve"> &amp; Gupta, 2023). Furthermore, IT infrastructure plays a foundational role by facilitating market sensing, enabling knowledge creation, and supporting real-time decision-making essential for innovation and competitive responsiveness (Roberts &amp; Grover, 2012). As such, agility has </w:t>
      </w:r>
      <w:r>
        <w:lastRenderedPageBreak/>
        <w:t>become a strategic imperative for organizations striving to maintain relevance and achieve customer-centric innovation in fast-changing environments.</w:t>
      </w:r>
    </w:p>
    <w:p w:rsidR="00E118E4" w:rsidRDefault="00E118E4" w:rsidP="00E26366">
      <w:pPr>
        <w:spacing w:line="480" w:lineRule="auto"/>
        <w:jc w:val="both"/>
        <w:rPr>
          <w:rFonts w:ascii="Times New Roman" w:eastAsia="Times New Roman" w:hAnsi="Times New Roman" w:cs="Times New Roman"/>
          <w:b/>
          <w:bCs/>
          <w:color w:val="000000"/>
          <w:sz w:val="26"/>
          <w:szCs w:val="26"/>
        </w:rPr>
      </w:pPr>
      <w:r w:rsidRPr="00EF5E73">
        <w:rPr>
          <w:rFonts w:ascii="Times New Roman" w:eastAsia="Times New Roman" w:hAnsi="Times New Roman" w:cs="Times New Roman"/>
          <w:b/>
          <w:bCs/>
          <w:color w:val="000000"/>
          <w:sz w:val="26"/>
          <w:szCs w:val="26"/>
        </w:rPr>
        <w:t>2.</w:t>
      </w:r>
      <w:r>
        <w:rPr>
          <w:rFonts w:ascii="Times New Roman" w:eastAsia="Times New Roman" w:hAnsi="Times New Roman" w:cs="Times New Roman"/>
          <w:b/>
          <w:bCs/>
          <w:color w:val="000000"/>
          <w:sz w:val="26"/>
          <w:szCs w:val="26"/>
        </w:rPr>
        <w:t>6</w:t>
      </w:r>
      <w:r w:rsidRPr="00EF5E73">
        <w:rPr>
          <w:rFonts w:ascii="Times New Roman" w:eastAsia="Times New Roman" w:hAnsi="Times New Roman" w:cs="Times New Roman"/>
          <w:b/>
          <w:bCs/>
          <w:color w:val="000000"/>
          <w:sz w:val="26"/>
          <w:szCs w:val="26"/>
        </w:rPr>
        <w:t xml:space="preserve"> </w:t>
      </w:r>
      <w:r w:rsidRPr="00EF5E73">
        <w:rPr>
          <w:rFonts w:ascii="Times New Roman" w:eastAsia="Times New Roman" w:hAnsi="Times New Roman" w:cs="Times New Roman"/>
          <w:b/>
          <w:bCs/>
          <w:color w:val="000000"/>
          <w:sz w:val="26"/>
          <w:szCs w:val="26"/>
        </w:rPr>
        <w:tab/>
        <w:t>Resource Orchestration Capability</w:t>
      </w:r>
      <w:r>
        <w:rPr>
          <w:rFonts w:ascii="Times New Roman" w:eastAsia="Times New Roman" w:hAnsi="Times New Roman" w:cs="Times New Roman"/>
          <w:b/>
          <w:bCs/>
          <w:color w:val="000000"/>
          <w:sz w:val="26"/>
          <w:szCs w:val="26"/>
        </w:rPr>
        <w:t xml:space="preserve"> (</w:t>
      </w:r>
      <w:r w:rsidR="00DC73C4">
        <w:rPr>
          <w:rFonts w:ascii="Times New Roman" w:eastAsia="Times New Roman" w:hAnsi="Times New Roman" w:cs="Times New Roman"/>
          <w:b/>
          <w:bCs/>
          <w:color w:val="000000"/>
          <w:sz w:val="26"/>
          <w:szCs w:val="26"/>
        </w:rPr>
        <w:t>ROC</w:t>
      </w:r>
      <w:r>
        <w:rPr>
          <w:rFonts w:ascii="Times New Roman" w:eastAsia="Times New Roman" w:hAnsi="Times New Roman" w:cs="Times New Roman"/>
          <w:b/>
          <w:bCs/>
          <w:color w:val="000000"/>
          <w:sz w:val="26"/>
          <w:szCs w:val="26"/>
        </w:rPr>
        <w:t>)</w:t>
      </w:r>
    </w:p>
    <w:p w:rsidR="00B031D4" w:rsidRPr="00B031D4" w:rsidRDefault="00B031D4" w:rsidP="00E26366">
      <w:pPr>
        <w:pStyle w:val="NormalWeb"/>
        <w:spacing w:line="480" w:lineRule="auto"/>
        <w:jc w:val="both"/>
      </w:pPr>
      <w:r>
        <w:t xml:space="preserve">The dynamic capabilities framework builds upon the resource-based view (RBV), which posits that </w:t>
      </w:r>
      <w:r w:rsidRPr="00B031D4">
        <w:t>firms achieve sustained competitive advantage by possessing resources that are valuable, rare, inimitable, and non-substitutable (Barney, 1991). However, the mere possession of such strategic resources is insufficient; effective management and deployment of these resources are essential to realizing their full potential. Resource orchestration theory (ROT), as an extension of RBV, emphasizes that firms must deliberately structure, bundle, and leverage their resources to align with strategic objectives and achieve superior performance (</w:t>
      </w:r>
      <w:proofErr w:type="spellStart"/>
      <w:r w:rsidRPr="00B031D4">
        <w:t>Sirmon</w:t>
      </w:r>
      <w:proofErr w:type="spellEnd"/>
      <w:r w:rsidRPr="00B031D4">
        <w:t xml:space="preserve"> et al., 2007; </w:t>
      </w:r>
      <w:r w:rsidR="00864816">
        <w:t>Pan</w:t>
      </w:r>
      <w:r w:rsidRPr="00B031D4">
        <w:t xml:space="preserve"> et al., 202</w:t>
      </w:r>
      <w:r w:rsidR="00864816">
        <w:t>0</w:t>
      </w:r>
      <w:r w:rsidRPr="00B031D4">
        <w:t>). Structuring involves the acquisition, accumulation, and divestment of resources to build an optimal resource portfolio. Bundling refers to the integration and refinement of these resources to enhance or develop new capabilities. Leveraging focuses on the strategic deployment of capabilities to exploit market opportunities and create value (</w:t>
      </w:r>
      <w:proofErr w:type="spellStart"/>
      <w:r w:rsidRPr="00B031D4">
        <w:t>Sirmon</w:t>
      </w:r>
      <w:proofErr w:type="spellEnd"/>
      <w:r w:rsidRPr="00B031D4">
        <w:t xml:space="preserve"> et al., 2007).</w:t>
      </w:r>
    </w:p>
    <w:p w:rsidR="00B031D4" w:rsidRPr="00B031D4" w:rsidRDefault="00B031D4" w:rsidP="00E26366">
      <w:pPr>
        <w:pStyle w:val="NormalWeb"/>
        <w:spacing w:line="480" w:lineRule="auto"/>
        <w:jc w:val="both"/>
      </w:pPr>
      <w:r w:rsidRPr="00B031D4">
        <w:t xml:space="preserve">These orchestration actions can be further </w:t>
      </w:r>
      <w:proofErr w:type="spellStart"/>
      <w:r w:rsidRPr="00B031D4">
        <w:t>analyzed</w:t>
      </w:r>
      <w:proofErr w:type="spellEnd"/>
      <w:r w:rsidRPr="00B031D4">
        <w:t xml:space="preserve"> along three dimensions: the </w:t>
      </w:r>
      <w:r w:rsidRPr="003E05A0">
        <w:rPr>
          <w:rStyle w:val="Strong"/>
          <w:b w:val="0"/>
          <w:bCs w:val="0"/>
        </w:rPr>
        <w:t>scope</w:t>
      </w:r>
      <w:r w:rsidRPr="00B031D4">
        <w:t xml:space="preserve"> of resource application across functional domains (breadth), the </w:t>
      </w:r>
      <w:r w:rsidRPr="003E05A0">
        <w:rPr>
          <w:rStyle w:val="Strong"/>
          <w:b w:val="0"/>
          <w:bCs w:val="0"/>
        </w:rPr>
        <w:t>levels of managerial</w:t>
      </w:r>
      <w:r w:rsidRPr="00B031D4">
        <w:rPr>
          <w:rStyle w:val="Strong"/>
        </w:rPr>
        <w:t xml:space="preserve"> </w:t>
      </w:r>
      <w:r w:rsidRPr="003E05A0">
        <w:rPr>
          <w:rStyle w:val="Strong"/>
          <w:b w:val="0"/>
          <w:bCs w:val="0"/>
        </w:rPr>
        <w:t>involvement</w:t>
      </w:r>
      <w:r w:rsidRPr="00B031D4">
        <w:t xml:space="preserve"> across the organizational hierarchy (depth), and the </w:t>
      </w:r>
      <w:r w:rsidRPr="003E05A0">
        <w:rPr>
          <w:rStyle w:val="Strong"/>
          <w:b w:val="0"/>
          <w:bCs w:val="0"/>
        </w:rPr>
        <w:t>timing</w:t>
      </w:r>
      <w:r w:rsidRPr="00B031D4">
        <w:t xml:space="preserve"> of resource orchestration based on the firm's developmental stage (life cycle) (</w:t>
      </w:r>
      <w:proofErr w:type="spellStart"/>
      <w:r w:rsidRPr="00B031D4">
        <w:t>Sirmon</w:t>
      </w:r>
      <w:proofErr w:type="spellEnd"/>
      <w:r w:rsidRPr="00B031D4">
        <w:t xml:space="preserve"> et al., 2011). In the context of digital transformation</w:t>
      </w:r>
      <w:r w:rsidR="008E70B0">
        <w:t xml:space="preserve"> and business environment</w:t>
      </w:r>
      <w:r w:rsidRPr="00B031D4">
        <w:t xml:space="preserve">, this framework gives rise to the </w:t>
      </w:r>
      <w:r w:rsidR="008E70B0">
        <w:t xml:space="preserve">deeper </w:t>
      </w:r>
      <w:r w:rsidRPr="00B031D4">
        <w:t xml:space="preserve">concept of </w:t>
      </w:r>
      <w:r w:rsidRPr="003E05A0">
        <w:rPr>
          <w:rStyle w:val="Strong"/>
          <w:b w:val="0"/>
          <w:bCs w:val="0"/>
        </w:rPr>
        <w:t>resource</w:t>
      </w:r>
      <w:r w:rsidRPr="00B031D4">
        <w:rPr>
          <w:rStyle w:val="Strong"/>
        </w:rPr>
        <w:t xml:space="preserve"> </w:t>
      </w:r>
      <w:r w:rsidRPr="003E05A0">
        <w:rPr>
          <w:rStyle w:val="Strong"/>
          <w:b w:val="0"/>
          <w:bCs w:val="0"/>
        </w:rPr>
        <w:t>orchestration</w:t>
      </w:r>
      <w:r w:rsidRPr="00B031D4">
        <w:t>, which addresses how firms structure, integrate, and deploy di</w:t>
      </w:r>
      <w:r w:rsidR="008E70B0">
        <w:t>fferent</w:t>
      </w:r>
      <w:r w:rsidRPr="00B031D4">
        <w:t xml:space="preserve"> resources to foster innovation, create consumer value, and build </w:t>
      </w:r>
      <w:r w:rsidR="008E70B0">
        <w:t>res</w:t>
      </w:r>
      <w:r w:rsidRPr="00B031D4">
        <w:t>ilience (</w:t>
      </w:r>
      <w:r w:rsidR="00864816">
        <w:t>Zhou</w:t>
      </w:r>
      <w:r w:rsidRPr="00B031D4">
        <w:t xml:space="preserve"> et al., 202</w:t>
      </w:r>
      <w:r w:rsidR="00864816">
        <w:t>4</w:t>
      </w:r>
      <w:r w:rsidRPr="00B031D4">
        <w:t xml:space="preserve">). Specifically, </w:t>
      </w:r>
      <w:r w:rsidR="000725AA">
        <w:t>technologic</w:t>
      </w:r>
      <w:r w:rsidRPr="00B031D4">
        <w:t xml:space="preserve">al structuring entails the acquisition or internal development of high-value digital assets, while simultaneously phasing out obsolete </w:t>
      </w:r>
      <w:r w:rsidRPr="00B031D4">
        <w:lastRenderedPageBreak/>
        <w:t xml:space="preserve">technologies. </w:t>
      </w:r>
      <w:r w:rsidR="000725AA">
        <w:t>B</w:t>
      </w:r>
      <w:r w:rsidRPr="00B031D4">
        <w:t>undling involves integrating these assets to extend current capabilities or pioneer entirely new ones</w:t>
      </w:r>
      <w:r w:rsidR="000725AA">
        <w:t>.</w:t>
      </w:r>
      <w:r w:rsidRPr="00B031D4">
        <w:t xml:space="preserve"> </w:t>
      </w:r>
      <w:r w:rsidR="000725AA">
        <w:t>L</w:t>
      </w:r>
      <w:r w:rsidRPr="00B031D4">
        <w:t xml:space="preserve">everaging focuses on the mobilization and coordination of </w:t>
      </w:r>
      <w:r w:rsidR="000725AA">
        <w:t xml:space="preserve">resources and </w:t>
      </w:r>
      <w:r w:rsidRPr="00B031D4">
        <w:t>capabilities to respond to market dynamics, enable real-time consumer insights, and capitalize on emerging opportunities (</w:t>
      </w:r>
      <w:proofErr w:type="spellStart"/>
      <w:r w:rsidRPr="00B031D4">
        <w:t>Kristoffersen</w:t>
      </w:r>
      <w:proofErr w:type="spellEnd"/>
      <w:r w:rsidRPr="00B031D4">
        <w:t xml:space="preserve"> et al., 2021; </w:t>
      </w:r>
      <w:proofErr w:type="spellStart"/>
      <w:r w:rsidRPr="00B031D4">
        <w:t>Sirmon</w:t>
      </w:r>
      <w:proofErr w:type="spellEnd"/>
      <w:r w:rsidRPr="00B031D4">
        <w:t xml:space="preserve"> et al., 2007). Thus, </w:t>
      </w:r>
      <w:r w:rsidR="000725AA">
        <w:t>res</w:t>
      </w:r>
      <w:r w:rsidRPr="00B031D4">
        <w:t>ource orchestration serves as a critical enabler of strategic agility and consumer-centric innovation in an increasingly digital and turbulent business environment.</w:t>
      </w:r>
    </w:p>
    <w:p w:rsidR="00E118E4" w:rsidRPr="00EF5E73" w:rsidRDefault="00E118E4" w:rsidP="00E26366">
      <w:pPr>
        <w:spacing w:line="480" w:lineRule="auto"/>
        <w:jc w:val="both"/>
        <w:rPr>
          <w:rFonts w:ascii="Times New Roman" w:eastAsia="Times New Roman" w:hAnsi="Times New Roman" w:cs="Times New Roman"/>
          <w:sz w:val="24"/>
          <w:szCs w:val="24"/>
        </w:rPr>
      </w:pPr>
      <w:r w:rsidRPr="00EF5E73">
        <w:rPr>
          <w:rFonts w:ascii="Times New Roman" w:eastAsia="Times New Roman" w:hAnsi="Times New Roman" w:cs="Times New Roman"/>
          <w:b/>
          <w:bCs/>
          <w:color w:val="000000"/>
          <w:sz w:val="26"/>
          <w:szCs w:val="26"/>
        </w:rPr>
        <w:t>2.</w:t>
      </w:r>
      <w:r>
        <w:rPr>
          <w:rFonts w:ascii="Times New Roman" w:eastAsia="Times New Roman" w:hAnsi="Times New Roman" w:cs="Times New Roman"/>
          <w:b/>
          <w:bCs/>
          <w:color w:val="000000"/>
          <w:sz w:val="26"/>
          <w:szCs w:val="26"/>
        </w:rPr>
        <w:t>7</w:t>
      </w:r>
      <w:r w:rsidRPr="00EF5E73">
        <w:rPr>
          <w:rFonts w:ascii="Times New Roman" w:eastAsia="Times New Roman" w:hAnsi="Times New Roman" w:cs="Times New Roman"/>
          <w:b/>
          <w:bCs/>
          <w:color w:val="000000"/>
          <w:sz w:val="26"/>
          <w:szCs w:val="26"/>
        </w:rPr>
        <w:t xml:space="preserve"> </w:t>
      </w:r>
      <w:r w:rsidRPr="00EF5E73">
        <w:rPr>
          <w:rFonts w:ascii="Times New Roman" w:eastAsia="Times New Roman" w:hAnsi="Times New Roman" w:cs="Times New Roman"/>
          <w:b/>
          <w:bCs/>
          <w:color w:val="000000"/>
          <w:sz w:val="26"/>
          <w:szCs w:val="26"/>
        </w:rPr>
        <w:tab/>
        <w:t>Organizational Resilience</w:t>
      </w:r>
      <w:r>
        <w:rPr>
          <w:rFonts w:ascii="Times New Roman" w:eastAsia="Times New Roman" w:hAnsi="Times New Roman" w:cs="Times New Roman"/>
          <w:b/>
          <w:bCs/>
          <w:color w:val="000000"/>
          <w:sz w:val="26"/>
          <w:szCs w:val="26"/>
        </w:rPr>
        <w:t xml:space="preserve"> (</w:t>
      </w:r>
      <w:r w:rsidR="003C1E97">
        <w:rPr>
          <w:rFonts w:ascii="Times New Roman" w:eastAsia="Times New Roman" w:hAnsi="Times New Roman" w:cs="Times New Roman"/>
          <w:b/>
          <w:bCs/>
          <w:color w:val="000000"/>
          <w:sz w:val="26"/>
          <w:szCs w:val="26"/>
        </w:rPr>
        <w:t>OR</w:t>
      </w:r>
      <w:r>
        <w:rPr>
          <w:rFonts w:ascii="Times New Roman" w:eastAsia="Times New Roman" w:hAnsi="Times New Roman" w:cs="Times New Roman"/>
          <w:b/>
          <w:bCs/>
          <w:color w:val="000000"/>
          <w:sz w:val="26"/>
          <w:szCs w:val="26"/>
        </w:rPr>
        <w:t>)</w:t>
      </w:r>
    </w:p>
    <w:p w:rsidR="00B031D4" w:rsidRDefault="00B031D4" w:rsidP="00E26366">
      <w:pPr>
        <w:pStyle w:val="NormalWeb"/>
        <w:spacing w:line="480" w:lineRule="auto"/>
        <w:jc w:val="both"/>
      </w:pPr>
      <w:r>
        <w:t>Organizational resilience refers to the capacity of an organization to adapt positively and sustain its core functions before, during, and after experiencing adverse events, by effectively leveraging its internal capabilities (Williams et al., 2017). Scholarly discourse on resilience presents two dominant perspectives: one that emphasizes an organization's ability to absorb and cope with external shocks, and another that focuses on its capacity to "bounce forward"</w:t>
      </w:r>
      <w:r w:rsidR="000725AA">
        <w:t xml:space="preserve"> - </w:t>
      </w:r>
      <w:r>
        <w:t>growing and evolving in response to adversity (</w:t>
      </w:r>
      <w:proofErr w:type="spellStart"/>
      <w:r>
        <w:t>Gittell</w:t>
      </w:r>
      <w:proofErr w:type="spellEnd"/>
      <w:r>
        <w:t xml:space="preserve"> et al., 2006; </w:t>
      </w:r>
      <w:r w:rsidR="00864816">
        <w:t>Zhou et al., 2024</w:t>
      </w:r>
      <w:r>
        <w:t>). A resilient organization cultivates a proactive stance toward uncertainty, developing risk tolerance and preparing for high-impact, low-probability disruptions. Resilience is not confined to a single domain; rather, it is embedded across individuals, systems, structures, infrastructures, routines, and organizational culture (</w:t>
      </w:r>
      <w:proofErr w:type="spellStart"/>
      <w:r>
        <w:t>Burnard</w:t>
      </w:r>
      <w:proofErr w:type="spellEnd"/>
      <w:r>
        <w:t xml:space="preserve"> &amp; </w:t>
      </w:r>
      <w:proofErr w:type="spellStart"/>
      <w:r>
        <w:t>Bhamra</w:t>
      </w:r>
      <w:proofErr w:type="spellEnd"/>
      <w:r>
        <w:t>, 2011).</w:t>
      </w:r>
    </w:p>
    <w:p w:rsidR="00B031D4" w:rsidRDefault="00B031D4" w:rsidP="00E26366">
      <w:pPr>
        <w:pStyle w:val="NormalWeb"/>
        <w:spacing w:line="480" w:lineRule="auto"/>
        <w:jc w:val="both"/>
      </w:pPr>
      <w:r>
        <w:t xml:space="preserve">From a systems perspective, resilience is fostered through dynamic capabilities and the strategic deployment of resources that are robust, redundant, or easily accessible—thus enhancing the system's adaptive capacity in the face of environmental volatility (Norris et al., 2008). This process involves the continual recombination and reconfiguration of resources, enabling the organization to respond creatively to unforeseen challenges (Sutcliffe &amp; </w:t>
      </w:r>
      <w:proofErr w:type="spellStart"/>
      <w:r>
        <w:t>Vogus</w:t>
      </w:r>
      <w:proofErr w:type="spellEnd"/>
      <w:r>
        <w:t xml:space="preserve">, 2003). In the context of digital transformation, the concept of </w:t>
      </w:r>
      <w:r w:rsidRPr="003E05A0">
        <w:rPr>
          <w:rStyle w:val="Strong"/>
          <w:b w:val="0"/>
          <w:bCs w:val="0"/>
        </w:rPr>
        <w:t>digital</w:t>
      </w:r>
      <w:r>
        <w:rPr>
          <w:rStyle w:val="Strong"/>
        </w:rPr>
        <w:t xml:space="preserve"> </w:t>
      </w:r>
      <w:r w:rsidRPr="003E05A0">
        <w:rPr>
          <w:rStyle w:val="Strong"/>
          <w:b w:val="0"/>
          <w:bCs w:val="0"/>
        </w:rPr>
        <w:t>resilience</w:t>
      </w:r>
      <w:r>
        <w:t xml:space="preserve"> has </w:t>
      </w:r>
      <w:r w:rsidR="008B0F08">
        <w:t xml:space="preserve">also </w:t>
      </w:r>
      <w:r>
        <w:t xml:space="preserve">emerged as increasingly salient. </w:t>
      </w:r>
      <w:r w:rsidR="008B0F08">
        <w:t>It</w:t>
      </w:r>
      <w:r>
        <w:t xml:space="preserve"> is defined as an organization’s capability to absorb, </w:t>
      </w:r>
      <w:r>
        <w:lastRenderedPageBreak/>
        <w:t>respond to, and recover from disruptions through the effective use of digital technologies (</w:t>
      </w:r>
      <w:r w:rsidR="00864816">
        <w:t>Zhou</w:t>
      </w:r>
      <w:r>
        <w:t xml:space="preserve"> et al., 202</w:t>
      </w:r>
      <w:r w:rsidR="00864816">
        <w:t>4</w:t>
      </w:r>
      <w:r>
        <w:t>). It involves the orchestration of information systems to support rapid recovery and adaptation, leveraging pooled digital competencies and infrastructures to stabilize operations and create long-term strategic value (</w:t>
      </w:r>
      <w:r w:rsidR="00864816">
        <w:t>Lee</w:t>
      </w:r>
      <w:r>
        <w:t xml:space="preserve"> et al., 202</w:t>
      </w:r>
      <w:r w:rsidR="00864816">
        <w:t>4</w:t>
      </w:r>
      <w:r>
        <w:t xml:space="preserve">). As technological turbulence continues to intensify, identifying and implementing robust strategies to build </w:t>
      </w:r>
      <w:r w:rsidR="008B0F08">
        <w:t>organization</w:t>
      </w:r>
      <w:r>
        <w:t>al resilience has become a critical imperative for organizations seeking to maintain competitiveness and meet evolving consumer expectations (</w:t>
      </w:r>
      <w:r w:rsidR="00864816">
        <w:t>Zhou et al., 2024</w:t>
      </w:r>
      <w:r>
        <w:t>).</w:t>
      </w:r>
    </w:p>
    <w:p w:rsidR="00E51D6B" w:rsidRDefault="00E51D6B" w:rsidP="00E26366">
      <w:pPr>
        <w:pStyle w:val="NormalWeb"/>
        <w:numPr>
          <w:ilvl w:val="0"/>
          <w:numId w:val="1"/>
        </w:numPr>
        <w:spacing w:line="480" w:lineRule="auto"/>
        <w:jc w:val="both"/>
        <w:rPr>
          <w:b/>
          <w:bCs/>
        </w:rPr>
      </w:pPr>
      <w:r w:rsidRPr="00E51D6B">
        <w:rPr>
          <w:b/>
          <w:bCs/>
        </w:rPr>
        <w:t>Hypotheses Development</w:t>
      </w:r>
    </w:p>
    <w:p w:rsidR="00B031D4" w:rsidRPr="00B031D4" w:rsidRDefault="00B031D4" w:rsidP="00E26366">
      <w:pPr>
        <w:spacing w:line="480" w:lineRule="auto"/>
        <w:jc w:val="both"/>
        <w:rPr>
          <w:rFonts w:ascii="Times New Roman" w:eastAsia="Times New Roman" w:hAnsi="Times New Roman" w:cs="Times New Roman"/>
          <w:sz w:val="24"/>
          <w:szCs w:val="24"/>
        </w:rPr>
      </w:pPr>
      <w:r w:rsidRPr="00B031D4">
        <w:rPr>
          <w:rFonts w:ascii="Times New Roman" w:eastAsia="Times New Roman" w:hAnsi="Times New Roman" w:cs="Times New Roman"/>
          <w:color w:val="000000"/>
          <w:sz w:val="26"/>
          <w:szCs w:val="26"/>
        </w:rPr>
        <w:t xml:space="preserve">Based on the above arguments, we analyse the relationships between </w:t>
      </w:r>
      <w:r w:rsidR="008B0F08">
        <w:rPr>
          <w:rFonts w:ascii="Times New Roman" w:eastAsia="Times New Roman" w:hAnsi="Times New Roman" w:cs="Times New Roman"/>
          <w:color w:val="000000"/>
          <w:sz w:val="26"/>
          <w:szCs w:val="26"/>
        </w:rPr>
        <w:t>ambidexterity, environmental dynamism, agility, resource orchestration capability</w:t>
      </w:r>
      <w:r w:rsidRPr="00B031D4">
        <w:rPr>
          <w:rFonts w:ascii="Times New Roman" w:eastAsia="Times New Roman" w:hAnsi="Times New Roman" w:cs="Times New Roman"/>
          <w:color w:val="000000"/>
          <w:sz w:val="26"/>
          <w:szCs w:val="26"/>
        </w:rPr>
        <w:t xml:space="preserve"> and organizational resilience considering </w:t>
      </w:r>
      <w:r w:rsidR="008B0F08">
        <w:rPr>
          <w:rFonts w:ascii="Times New Roman" w:eastAsia="Times New Roman" w:hAnsi="Times New Roman" w:cs="Times New Roman"/>
          <w:color w:val="000000"/>
          <w:sz w:val="26"/>
          <w:szCs w:val="26"/>
        </w:rPr>
        <w:t>environmental dynamism as the moderator between links</w:t>
      </w:r>
      <w:r w:rsidRPr="00B031D4">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z w:val="26"/>
          <w:szCs w:val="26"/>
        </w:rPr>
        <w:t xml:space="preserve"> We propose a conceptual model as presented in Figure 1.</w:t>
      </w:r>
    </w:p>
    <w:p w:rsidR="007F707E" w:rsidRDefault="00B031D4" w:rsidP="00E26366">
      <w:pPr>
        <w:pStyle w:val="NormalWeb"/>
        <w:spacing w:line="480" w:lineRule="auto"/>
        <w:jc w:val="center"/>
        <w:rPr>
          <w:b/>
          <w:bCs/>
        </w:rPr>
      </w:pPr>
      <w:r>
        <w:rPr>
          <w:b/>
          <w:bCs/>
        </w:rPr>
        <w:t>Figure 1: Proposed Research Model</w:t>
      </w:r>
    </w:p>
    <w:p w:rsidR="00B031D4" w:rsidRPr="00B031D4" w:rsidRDefault="00B031D4" w:rsidP="00E26366">
      <w:pPr>
        <w:pStyle w:val="ListParagraph"/>
        <w:numPr>
          <w:ilvl w:val="2"/>
          <w:numId w:val="1"/>
        </w:numPr>
        <w:spacing w:before="240" w:after="240" w:line="480" w:lineRule="auto"/>
        <w:jc w:val="both"/>
        <w:rPr>
          <w:rFonts w:ascii="Times New Roman" w:eastAsia="Times New Roman" w:hAnsi="Times New Roman" w:cs="Times New Roman"/>
          <w:b/>
          <w:bCs/>
          <w:color w:val="000000"/>
          <w:sz w:val="26"/>
          <w:szCs w:val="26"/>
        </w:rPr>
      </w:pPr>
      <w:r w:rsidRPr="00B031D4">
        <w:rPr>
          <w:rFonts w:ascii="Times New Roman" w:eastAsia="Times New Roman" w:hAnsi="Times New Roman" w:cs="Times New Roman"/>
          <w:b/>
          <w:bCs/>
          <w:color w:val="000000"/>
          <w:sz w:val="26"/>
          <w:szCs w:val="26"/>
        </w:rPr>
        <w:t>Role of Ambidexterity</w:t>
      </w:r>
    </w:p>
    <w:p w:rsidR="00B031D4" w:rsidRDefault="00B031D4" w:rsidP="00E26366">
      <w:pPr>
        <w:pStyle w:val="NormalWeb"/>
        <w:spacing w:line="480" w:lineRule="auto"/>
        <w:jc w:val="both"/>
      </w:pPr>
      <w:r>
        <w:t xml:space="preserve">The ability of an organization to promptly and effectively respond to environmental changes is a critical determinant of its overall agility, particularly in </w:t>
      </w:r>
      <w:r w:rsidR="008B0F08">
        <w:t>technologically</w:t>
      </w:r>
      <w:r>
        <w:t xml:space="preserve"> turbulent </w:t>
      </w:r>
      <w:r w:rsidR="008B0F08">
        <w:t>environment</w:t>
      </w:r>
      <w:r>
        <w:t xml:space="preserve"> (</w:t>
      </w:r>
      <w:proofErr w:type="spellStart"/>
      <w:r>
        <w:t>Rialti</w:t>
      </w:r>
      <w:proofErr w:type="spellEnd"/>
      <w:r>
        <w:t xml:space="preserve"> et al., 201</w:t>
      </w:r>
      <w:r w:rsidR="00864816">
        <w:t>8</w:t>
      </w:r>
      <w:r>
        <w:t>). Prior research highlights the pivotal role of techn</w:t>
      </w:r>
      <w:r w:rsidR="008B0F08">
        <w:t>ical</w:t>
      </w:r>
      <w:r>
        <w:t xml:space="preserve"> capabilities in enhancing organizational agility through operational ambidexterity. Specifically, Lee et al. (20</w:t>
      </w:r>
      <w:r w:rsidR="00864816">
        <w:t>24</w:t>
      </w:r>
      <w:r>
        <w:t xml:space="preserve">) demonstrate that both exploration and exploitation capabilities contribute positively to agility by facilitating the dual processes of innovation and efficiency. </w:t>
      </w:r>
      <w:r w:rsidR="008B0F08">
        <w:t xml:space="preserve">Technological </w:t>
      </w:r>
      <w:r>
        <w:t xml:space="preserve">exploration enables firms to detect, </w:t>
      </w:r>
      <w:proofErr w:type="spellStart"/>
      <w:r>
        <w:t>analyze</w:t>
      </w:r>
      <w:proofErr w:type="spellEnd"/>
      <w:r>
        <w:t xml:space="preserve">, and anticipate technological trends, thereby fostering proactive responses to emerging external changes. In parallel, </w:t>
      </w:r>
      <w:r>
        <w:lastRenderedPageBreak/>
        <w:t>exploitation capabilities support the identification, selection, and reconfiguration of existing technologies to ensure alignment with organizational goals and future growth trajectories (Zhen et al., 2021).</w:t>
      </w:r>
    </w:p>
    <w:p w:rsidR="00B031D4" w:rsidRDefault="00B031D4" w:rsidP="00E26366">
      <w:pPr>
        <w:pStyle w:val="NormalWeb"/>
        <w:spacing w:line="480" w:lineRule="auto"/>
        <w:jc w:val="both"/>
      </w:pPr>
      <w:r>
        <w:t xml:space="preserve">Expanding upon the foundational research on technological ambidexterity, recent studies </w:t>
      </w:r>
      <w:r w:rsidR="008B0F08">
        <w:t xml:space="preserve">has also </w:t>
      </w:r>
      <w:r>
        <w:t>introduce</w:t>
      </w:r>
      <w:r w:rsidR="008B0F08">
        <w:t>d</w:t>
      </w:r>
      <w:r>
        <w:t xml:space="preserve"> the concept of </w:t>
      </w:r>
      <w:r w:rsidRPr="003E05A0">
        <w:t>digital</w:t>
      </w:r>
      <w:r w:rsidRPr="00B031D4">
        <w:rPr>
          <w:b/>
          <w:bCs/>
        </w:rPr>
        <w:t xml:space="preserve"> </w:t>
      </w:r>
      <w:r w:rsidRPr="003E05A0">
        <w:t>ambidexterity</w:t>
      </w:r>
      <w:r>
        <w:t xml:space="preserve">—the simultaneous pursuit of digital exploration and exploitation—as a strategic approach for optimizing digital decision-making (Liang et al., 2022). This capability enables firms to systematically evaluate the advantages and limitations of various technological alternatives and to choose the most suitable digital solutions that offer both operational efficiency and strategic alignment. In doing so, digital ambidexterity serves as a crucial enabler of agility, equipping organizations with the ability to adapt rapidly to change, satisfy evolving consumer expectations, and maintain a competitive edge in an increasingly volatile and technology-driven environment. </w:t>
      </w:r>
      <w:r w:rsidRPr="00B031D4">
        <w:t>Thus, we hypothesize the following, </w:t>
      </w:r>
    </w:p>
    <w:p w:rsidR="00B031D4" w:rsidRPr="00B031D4" w:rsidRDefault="00B031D4" w:rsidP="00E26366">
      <w:pPr>
        <w:spacing w:before="240" w:after="240" w:line="480" w:lineRule="auto"/>
        <w:jc w:val="both"/>
        <w:rPr>
          <w:rFonts w:ascii="Times New Roman" w:eastAsia="Times New Roman" w:hAnsi="Times New Roman" w:cs="Times New Roman"/>
          <w:i/>
          <w:iCs/>
          <w:sz w:val="24"/>
          <w:szCs w:val="24"/>
        </w:rPr>
      </w:pPr>
      <w:r w:rsidRPr="00B031D4">
        <w:rPr>
          <w:rFonts w:ascii="Times New Roman" w:eastAsia="Times New Roman" w:hAnsi="Times New Roman" w:cs="Times New Roman"/>
          <w:b/>
          <w:bCs/>
          <w:color w:val="000000"/>
          <w:sz w:val="26"/>
          <w:szCs w:val="26"/>
        </w:rPr>
        <w:t>H1:</w:t>
      </w:r>
      <w:r w:rsidRPr="00B031D4">
        <w:rPr>
          <w:rFonts w:ascii="Times New Roman" w:eastAsia="Times New Roman" w:hAnsi="Times New Roman" w:cs="Times New Roman"/>
          <w:color w:val="000000"/>
          <w:sz w:val="26"/>
          <w:szCs w:val="26"/>
        </w:rPr>
        <w:t xml:space="preserve"> </w:t>
      </w:r>
      <w:r w:rsidR="008B0F08">
        <w:rPr>
          <w:rFonts w:ascii="Times New Roman" w:eastAsia="Times New Roman" w:hAnsi="Times New Roman" w:cs="Times New Roman"/>
          <w:i/>
          <w:iCs/>
          <w:color w:val="000000"/>
          <w:sz w:val="26"/>
          <w:szCs w:val="26"/>
        </w:rPr>
        <w:t>Ambidexterity (</w:t>
      </w:r>
      <w:r w:rsidRPr="00B031D4">
        <w:rPr>
          <w:rFonts w:ascii="Times New Roman" w:eastAsia="Times New Roman" w:hAnsi="Times New Roman" w:cs="Times New Roman"/>
          <w:i/>
          <w:iCs/>
          <w:color w:val="000000"/>
          <w:sz w:val="26"/>
          <w:szCs w:val="26"/>
        </w:rPr>
        <w:t>AD) positively influences Agility (</w:t>
      </w:r>
      <w:r w:rsidR="003C1E97">
        <w:rPr>
          <w:rFonts w:ascii="Times New Roman" w:eastAsia="Times New Roman" w:hAnsi="Times New Roman" w:cs="Times New Roman"/>
          <w:i/>
          <w:iCs/>
          <w:color w:val="000000"/>
          <w:sz w:val="26"/>
          <w:szCs w:val="26"/>
        </w:rPr>
        <w:t>AG</w:t>
      </w:r>
      <w:r w:rsidRPr="00B031D4">
        <w:rPr>
          <w:rFonts w:ascii="Times New Roman" w:eastAsia="Times New Roman" w:hAnsi="Times New Roman" w:cs="Times New Roman"/>
          <w:i/>
          <w:iCs/>
          <w:color w:val="000000"/>
          <w:sz w:val="26"/>
          <w:szCs w:val="26"/>
        </w:rPr>
        <w:t>)</w:t>
      </w:r>
    </w:p>
    <w:p w:rsidR="00A137E9" w:rsidRPr="008B0F08" w:rsidRDefault="008B0F08" w:rsidP="008B0F08">
      <w:pPr>
        <w:pStyle w:val="ListParagraph"/>
        <w:numPr>
          <w:ilvl w:val="2"/>
          <w:numId w:val="1"/>
        </w:numPr>
        <w:spacing w:before="240" w:after="240" w:line="480" w:lineRule="auto"/>
        <w:jc w:val="both"/>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Role of </w:t>
      </w:r>
      <w:r w:rsidR="00A137E9" w:rsidRPr="008B0F08">
        <w:rPr>
          <w:rFonts w:ascii="Times New Roman" w:eastAsia="Times New Roman" w:hAnsi="Times New Roman" w:cs="Times New Roman"/>
          <w:b/>
          <w:bCs/>
          <w:color w:val="000000"/>
          <w:sz w:val="26"/>
          <w:szCs w:val="26"/>
        </w:rPr>
        <w:t>Agility</w:t>
      </w:r>
    </w:p>
    <w:p w:rsidR="00A137E9" w:rsidRDefault="00A137E9" w:rsidP="00E26366">
      <w:pPr>
        <w:pStyle w:val="NormalWeb"/>
        <w:spacing w:line="480" w:lineRule="auto"/>
        <w:jc w:val="both"/>
      </w:pPr>
      <w:r>
        <w:t xml:space="preserve">In environments characterized by rapid and relentless technological change, organizational resilience is increasingly dependent on the capacity to absorb, endure, and recover from disruptive events. While resilience pertains to an organization’s ability to respond to sudden and unexpected shocks, agility enables adaptation to </w:t>
      </w:r>
      <w:proofErr w:type="spellStart"/>
      <w:r>
        <w:t>ongoing</w:t>
      </w:r>
      <w:proofErr w:type="spellEnd"/>
      <w:r>
        <w:t xml:space="preserve">, continuous change—making both capabilities essential yet distinct in navigating </w:t>
      </w:r>
      <w:r w:rsidR="008B0F08">
        <w:t>disruptive and competitive environment</w:t>
      </w:r>
      <w:r>
        <w:t xml:space="preserve"> (</w:t>
      </w:r>
      <w:proofErr w:type="spellStart"/>
      <w:r>
        <w:t>Mangalaraj</w:t>
      </w:r>
      <w:proofErr w:type="spellEnd"/>
      <w:r>
        <w:t xml:space="preserve"> et al., 2023). </w:t>
      </w:r>
      <w:r w:rsidR="008B0F08">
        <w:t xml:space="preserve">Organizational </w:t>
      </w:r>
      <w:r>
        <w:t>agility, in particular, plays a formative role in enhancing resilience by fostering a proactive orientation toward transformation and innovation</w:t>
      </w:r>
      <w:r w:rsidR="008B0F08">
        <w:t xml:space="preserve"> of the business models</w:t>
      </w:r>
      <w:r>
        <w:t xml:space="preserve">, thereby enabling firms to respond swiftly to technological </w:t>
      </w:r>
      <w:r>
        <w:lastRenderedPageBreak/>
        <w:t>disturbances emerging from external environments (</w:t>
      </w:r>
      <w:proofErr w:type="spellStart"/>
      <w:r>
        <w:t>Duvivier</w:t>
      </w:r>
      <w:proofErr w:type="spellEnd"/>
      <w:r>
        <w:t xml:space="preserve"> &amp; Gupta, 2023). As a dynamic capability, agility forms the backbone of </w:t>
      </w:r>
      <w:r w:rsidR="008B0F08">
        <w:t>organizational</w:t>
      </w:r>
      <w:r>
        <w:t xml:space="preserve"> resilience, supporting long-term adaptability, competitiveness, and sustained performance in volatile contexts (</w:t>
      </w:r>
      <w:proofErr w:type="spellStart"/>
      <w:r>
        <w:t>Andersson</w:t>
      </w:r>
      <w:proofErr w:type="spellEnd"/>
      <w:r>
        <w:t xml:space="preserve"> et al., 2019; </w:t>
      </w:r>
      <w:proofErr w:type="spellStart"/>
      <w:r>
        <w:t>Scala</w:t>
      </w:r>
      <w:proofErr w:type="spellEnd"/>
      <w:r>
        <w:t xml:space="preserve"> &amp; Lindsay, 2021; Teece et al., 2016).</w:t>
      </w:r>
    </w:p>
    <w:p w:rsidR="00A137E9" w:rsidRDefault="00A137E9" w:rsidP="00E26366">
      <w:pPr>
        <w:pStyle w:val="NormalWeb"/>
        <w:spacing w:line="480" w:lineRule="auto"/>
        <w:jc w:val="both"/>
      </w:pPr>
      <w:r>
        <w:t xml:space="preserve">Agility facilitates the rapid reallocation of resources and the orchestration of interdependent </w:t>
      </w:r>
      <w:r w:rsidR="008B0F08">
        <w:t>technical</w:t>
      </w:r>
      <w:r>
        <w:t xml:space="preserve"> ecosystems to accommodate disruptive innovations, complementing the scalability afforded by </w:t>
      </w:r>
      <w:r w:rsidR="008B0F08">
        <w:t xml:space="preserve">different </w:t>
      </w:r>
      <w:r>
        <w:t>platforms and infrastructure (</w:t>
      </w:r>
      <w:proofErr w:type="spellStart"/>
      <w:r>
        <w:t>Bughin</w:t>
      </w:r>
      <w:proofErr w:type="spellEnd"/>
      <w:r>
        <w:t>, 2024). Introducing modularity—both organizational and technical—has been shown to further strengthen resilience, enabling flexible system architectures and adaptive responses (Tim et al., 2023). In this regard, innovation-oriented firms possess a comparative advantage, as their predisposition toward experimentation and continuous improvement enables them to generate creative responses to disruption (</w:t>
      </w:r>
      <w:proofErr w:type="spellStart"/>
      <w:r>
        <w:t>Sabahi</w:t>
      </w:r>
      <w:proofErr w:type="spellEnd"/>
      <w:r>
        <w:t xml:space="preserve"> &amp; </w:t>
      </w:r>
      <w:proofErr w:type="spellStart"/>
      <w:r>
        <w:t>Parast</w:t>
      </w:r>
      <w:proofErr w:type="spellEnd"/>
      <w:r>
        <w:t>, 2020).</w:t>
      </w:r>
    </w:p>
    <w:p w:rsidR="00A137E9" w:rsidRDefault="00A137E9" w:rsidP="00E26366">
      <w:pPr>
        <w:pStyle w:val="NormalWeb"/>
        <w:spacing w:line="480" w:lineRule="auto"/>
        <w:jc w:val="both"/>
      </w:pPr>
      <w:r>
        <w:t>Moreover, agility extends to the supply chain domain, where it serves as a crucial enabler of resilience. Studies indicate that supply chain agility—through the development of responsive infrastructure and flexible management systems—significantly enhances a firm's ability to withstand and recover from market and operational disruptions (</w:t>
      </w:r>
      <w:proofErr w:type="spellStart"/>
      <w:r>
        <w:t>Aslam</w:t>
      </w:r>
      <w:proofErr w:type="spellEnd"/>
      <w:r>
        <w:t xml:space="preserve"> et al., 2020; </w:t>
      </w:r>
      <w:proofErr w:type="spellStart"/>
      <w:r>
        <w:t>Lotfi</w:t>
      </w:r>
      <w:proofErr w:type="spellEnd"/>
      <w:r>
        <w:t xml:space="preserve"> &amp; </w:t>
      </w:r>
      <w:proofErr w:type="spellStart"/>
      <w:r>
        <w:t>Saghiri</w:t>
      </w:r>
      <w:proofErr w:type="spellEnd"/>
      <w:r>
        <w:t xml:space="preserve">, 2018; </w:t>
      </w:r>
      <w:proofErr w:type="spellStart"/>
      <w:r>
        <w:t>Mandal</w:t>
      </w:r>
      <w:proofErr w:type="spellEnd"/>
      <w:r>
        <w:t xml:space="preserve"> &amp; </w:t>
      </w:r>
      <w:proofErr w:type="spellStart"/>
      <w:r>
        <w:t>Dubey</w:t>
      </w:r>
      <w:proofErr w:type="spellEnd"/>
      <w:r>
        <w:t xml:space="preserve">, 2020; Nguyen </w:t>
      </w:r>
      <w:proofErr w:type="spellStart"/>
      <w:r>
        <w:t>Thi</w:t>
      </w:r>
      <w:proofErr w:type="spellEnd"/>
      <w:r>
        <w:t xml:space="preserve"> et al., 2023). Disruptive forces often introduce vulnerabilities across the supply chain, yet capabilities such as agility, adaptability, and alignment serve to mitigate these effects and foster resilient supply networks (Pettit et al., 2010). Emerging digital technologies, particularly artificial intelligence (AI), further elevate the role of agility by enabling greater visibility, transparency, and real-time responsiveness across supply chains (</w:t>
      </w:r>
      <w:proofErr w:type="spellStart"/>
      <w:r>
        <w:t>Dey</w:t>
      </w:r>
      <w:proofErr w:type="spellEnd"/>
      <w:r>
        <w:t xml:space="preserve"> et al., 2023). The proliferation of such technologies has created competitive pressures, prompting firms to adopt or emulate digital innovations in order to remain relevant.</w:t>
      </w:r>
    </w:p>
    <w:p w:rsidR="00A137E9" w:rsidRPr="00EF5E73" w:rsidRDefault="00A137E9" w:rsidP="00E26366">
      <w:pPr>
        <w:pStyle w:val="NormalWeb"/>
        <w:spacing w:line="480" w:lineRule="auto"/>
        <w:jc w:val="both"/>
      </w:pPr>
      <w:r>
        <w:lastRenderedPageBreak/>
        <w:t xml:space="preserve">In this context, resilience becomes a strategic priority for firms operating in volatile </w:t>
      </w:r>
      <w:r w:rsidR="00897171">
        <w:t>and uncertain markets</w:t>
      </w:r>
      <w:r>
        <w:t>, especially those offering time-sensitive or technologically embedded products and services. Capabilities in research and development (R&amp;D) and information technology (IT) play a foundational role in sensing technological change, while strategic and operational capabilities determine a firm's ability to seize and exploit these opportunities effectively (</w:t>
      </w:r>
      <w:proofErr w:type="spellStart"/>
      <w:r>
        <w:t>Overby</w:t>
      </w:r>
      <w:proofErr w:type="spellEnd"/>
      <w:r>
        <w:t xml:space="preserve"> et al., 2006). Together, these interconnected capabilities underpin an </w:t>
      </w:r>
      <w:r w:rsidR="00897171">
        <w:t xml:space="preserve">organization’s </w:t>
      </w:r>
      <w:r>
        <w:t>resilience and its ability to evolve with the demands of a constantly shifting technological frontier.</w:t>
      </w:r>
      <w:r w:rsidRPr="00A137E9">
        <w:t xml:space="preserve"> Thus, we hypothesize that,</w:t>
      </w:r>
    </w:p>
    <w:p w:rsidR="00A137E9" w:rsidRPr="00EF5E73" w:rsidRDefault="00A137E9" w:rsidP="00E26366">
      <w:pPr>
        <w:spacing w:after="0" w:line="480" w:lineRule="auto"/>
        <w:jc w:val="both"/>
        <w:rPr>
          <w:rFonts w:ascii="Times New Roman" w:eastAsia="Times New Roman" w:hAnsi="Times New Roman" w:cs="Times New Roman"/>
          <w:sz w:val="24"/>
          <w:szCs w:val="24"/>
        </w:rPr>
      </w:pPr>
      <w:r w:rsidRPr="00A137E9">
        <w:rPr>
          <w:rFonts w:ascii="Times New Roman" w:eastAsia="Times New Roman" w:hAnsi="Times New Roman" w:cs="Times New Roman"/>
          <w:b/>
          <w:bCs/>
          <w:color w:val="000000"/>
          <w:sz w:val="26"/>
          <w:szCs w:val="26"/>
        </w:rPr>
        <w:t>H2:</w:t>
      </w:r>
      <w:r w:rsidRPr="00EF5E73">
        <w:rPr>
          <w:rFonts w:ascii="Times New Roman" w:eastAsia="Times New Roman" w:hAnsi="Times New Roman" w:cs="Times New Roman"/>
          <w:color w:val="000000"/>
          <w:sz w:val="26"/>
          <w:szCs w:val="26"/>
        </w:rPr>
        <w:t xml:space="preserve"> </w:t>
      </w:r>
      <w:r w:rsidRPr="00A137E9">
        <w:rPr>
          <w:rFonts w:ascii="Times New Roman" w:eastAsia="Times New Roman" w:hAnsi="Times New Roman" w:cs="Times New Roman"/>
          <w:i/>
          <w:iCs/>
          <w:color w:val="000000"/>
          <w:sz w:val="26"/>
          <w:szCs w:val="26"/>
        </w:rPr>
        <w:t xml:space="preserve">Agility </w:t>
      </w:r>
      <w:r w:rsidR="00AD3428">
        <w:rPr>
          <w:rFonts w:ascii="Times New Roman" w:eastAsia="Times New Roman" w:hAnsi="Times New Roman" w:cs="Times New Roman"/>
          <w:i/>
          <w:iCs/>
          <w:color w:val="000000"/>
          <w:sz w:val="26"/>
          <w:szCs w:val="26"/>
        </w:rPr>
        <w:t xml:space="preserve">(AG) </w:t>
      </w:r>
      <w:r w:rsidRPr="00A137E9">
        <w:rPr>
          <w:rFonts w:ascii="Times New Roman" w:eastAsia="Times New Roman" w:hAnsi="Times New Roman" w:cs="Times New Roman"/>
          <w:i/>
          <w:iCs/>
          <w:color w:val="000000"/>
          <w:sz w:val="26"/>
          <w:szCs w:val="26"/>
        </w:rPr>
        <w:t>positively influences Organizational Resilience</w:t>
      </w:r>
      <w:r w:rsidR="00AD3428">
        <w:rPr>
          <w:rFonts w:ascii="Times New Roman" w:eastAsia="Times New Roman" w:hAnsi="Times New Roman" w:cs="Times New Roman"/>
          <w:i/>
          <w:iCs/>
          <w:color w:val="000000"/>
          <w:sz w:val="26"/>
          <w:szCs w:val="26"/>
        </w:rPr>
        <w:t xml:space="preserve"> (OR)</w:t>
      </w:r>
      <w:r w:rsidRPr="00EF5E73">
        <w:rPr>
          <w:rFonts w:ascii="Times New Roman" w:eastAsia="Times New Roman" w:hAnsi="Times New Roman" w:cs="Times New Roman"/>
          <w:color w:val="000000"/>
          <w:sz w:val="26"/>
          <w:szCs w:val="26"/>
        </w:rPr>
        <w:t> </w:t>
      </w:r>
    </w:p>
    <w:p w:rsidR="00A137E9" w:rsidRDefault="00A137E9" w:rsidP="00E26366">
      <w:pPr>
        <w:pStyle w:val="NormalWeb"/>
        <w:spacing w:line="480" w:lineRule="auto"/>
        <w:jc w:val="both"/>
      </w:pPr>
      <w:r>
        <w:t>The conceptualization of agility as the dual capability to sense and respond to environmental stimuli has gained widespread recognition in contemporary literature (Roberts &amp; Grover, 2012). In dynamic digital environments, environmental sensing refers not only to the detection of potentially valuable signals but also to the interpretation and prioritization of these signals amidst uncertainty. However, a paradox often arises: individuals at lower organizational levels may detect weak signals but lack the broader contextual understanding, while senior decision-makers may grasp the strategic picture but remain disconnected from granular-level signals (</w:t>
      </w:r>
      <w:proofErr w:type="spellStart"/>
      <w:r>
        <w:t>Pinsonneault</w:t>
      </w:r>
      <w:proofErr w:type="spellEnd"/>
      <w:r>
        <w:t xml:space="preserve"> &amp; Choi, 2022). This sensing–response gap challenges organizations in effectively translating early warnings into strategic action.</w:t>
      </w:r>
    </w:p>
    <w:p w:rsidR="00A137E9" w:rsidRDefault="00A137E9" w:rsidP="00E26366">
      <w:pPr>
        <w:pStyle w:val="NormalWeb"/>
        <w:spacing w:line="480" w:lineRule="auto"/>
        <w:jc w:val="both"/>
      </w:pPr>
      <w:r>
        <w:t xml:space="preserve">Traditional approaches to managing environmental turbulence have </w:t>
      </w:r>
      <w:proofErr w:type="spellStart"/>
      <w:r>
        <w:t>centered</w:t>
      </w:r>
      <w:proofErr w:type="spellEnd"/>
      <w:r>
        <w:t xml:space="preserve"> on developing IT-enabled capabilities, whereby digital technology investments are integrated with organizational processes and human expertise to generate emergent and adaptive capabilities (Melville et al., 2004; </w:t>
      </w:r>
      <w:proofErr w:type="spellStart"/>
      <w:r>
        <w:t>Kohli</w:t>
      </w:r>
      <w:proofErr w:type="spellEnd"/>
      <w:r>
        <w:t xml:space="preserve"> &amp; Grover, 2008). </w:t>
      </w:r>
      <w:r w:rsidR="00897171">
        <w:t>A</w:t>
      </w:r>
      <w:r>
        <w:t xml:space="preserve">gility—defined by the ability to rapidly and effectively </w:t>
      </w:r>
      <w:proofErr w:type="gramStart"/>
      <w:r>
        <w:t>respond</w:t>
      </w:r>
      <w:proofErr w:type="gramEnd"/>
      <w:r>
        <w:t xml:space="preserve"> to technological and market changes—enables firms to better utilize and orchestrate </w:t>
      </w:r>
      <w:r w:rsidR="00897171">
        <w:t xml:space="preserve">firm </w:t>
      </w:r>
      <w:r>
        <w:t xml:space="preserve">resources by leveraging their existing infrastructure (Grover, 2022). Within </w:t>
      </w:r>
      <w:r>
        <w:lastRenderedPageBreak/>
        <w:t xml:space="preserve">the supply chain context, agility is supported by </w:t>
      </w:r>
      <w:r w:rsidRPr="00A137E9">
        <w:rPr>
          <w:i/>
          <w:iCs/>
        </w:rPr>
        <w:t>alertness capability</w:t>
      </w:r>
      <w:r>
        <w:t>, a cognitive dimension that enhances environmental sensing and contributes to responsive action (</w:t>
      </w:r>
      <w:proofErr w:type="spellStart"/>
      <w:r w:rsidR="00EC24ED" w:rsidRPr="00382573">
        <w:t>Feizabadi</w:t>
      </w:r>
      <w:proofErr w:type="spellEnd"/>
      <w:r>
        <w:t xml:space="preserve"> et al., 201</w:t>
      </w:r>
      <w:r w:rsidR="00EC24ED">
        <w:t>9</w:t>
      </w:r>
      <w:r>
        <w:t xml:space="preserve">). Techniques such as big data analytics and predictive monitoring have been shown to strengthen organizational alertness, enabling proactive decision-making and </w:t>
      </w:r>
      <w:proofErr w:type="gramStart"/>
      <w:r>
        <w:t>fostering  resilience</w:t>
      </w:r>
      <w:proofErr w:type="gramEnd"/>
      <w:r>
        <w:t xml:space="preserve"> </w:t>
      </w:r>
      <w:r w:rsidR="00897171">
        <w:t xml:space="preserve">in digital environment </w:t>
      </w:r>
      <w:r>
        <w:t>(</w:t>
      </w:r>
      <w:proofErr w:type="spellStart"/>
      <w:r>
        <w:t>Queiroz</w:t>
      </w:r>
      <w:proofErr w:type="spellEnd"/>
      <w:r>
        <w:t xml:space="preserve"> et al., 2022).</w:t>
      </w:r>
    </w:p>
    <w:p w:rsidR="00A137E9" w:rsidRDefault="00A137E9" w:rsidP="00E26366">
      <w:pPr>
        <w:pStyle w:val="NormalWeb"/>
        <w:spacing w:line="480" w:lineRule="auto"/>
        <w:jc w:val="both"/>
      </w:pPr>
      <w:r>
        <w:t>Digital resources encompass a wide array of assets, including data, software, digital platforms, digital talent, infrastructure, and intellectual property. The orchestration of these resources involves the strategic integration of internal and external assets to expand the firm’s value proposition. For instance, firms can integrate third-party digital tools through their own digital interfaces to create enhanced, complementary service offerings. In digital product portfolios, resource orchestration also entails dynamic reallocation based on complementarity and mutual dependencies among offerings—allocating more resources to strongly interdependent components where integration delivers greater consumer value (Lee et al., 2010).</w:t>
      </w:r>
    </w:p>
    <w:p w:rsidR="00A137E9" w:rsidRPr="00EF5E73" w:rsidRDefault="00A137E9" w:rsidP="00E26366">
      <w:pPr>
        <w:pStyle w:val="NormalWeb"/>
        <w:spacing w:line="480" w:lineRule="auto"/>
        <w:jc w:val="both"/>
      </w:pPr>
      <w:r>
        <w:t xml:space="preserve">Strategic agility thus enables organizations to continuously reconfigure resources and competencies to align with evolving environmental conditions. Agile firms are capable of sensing opportunities and rapidly mobilizing internal capabilities to introduce new </w:t>
      </w:r>
      <w:r w:rsidR="00897171">
        <w:t>products and</w:t>
      </w:r>
      <w:r>
        <w:t xml:space="preserve"> services (</w:t>
      </w:r>
      <w:proofErr w:type="spellStart"/>
      <w:r>
        <w:t>Bustinza</w:t>
      </w:r>
      <w:proofErr w:type="spellEnd"/>
      <w:r>
        <w:t xml:space="preserve"> et al., 2018). This responsiveness is fundamentally underpinned by the firm’s ability to structure, bundle, and leverage its </w:t>
      </w:r>
      <w:r w:rsidR="00897171">
        <w:t xml:space="preserve">own </w:t>
      </w:r>
      <w:r>
        <w:t xml:space="preserve">resources—core processes described in the resource orchestration theory. </w:t>
      </w:r>
      <w:r w:rsidRPr="00A137E9">
        <w:t>With these theoretical underpinnings, we hypothesize that</w:t>
      </w:r>
    </w:p>
    <w:p w:rsidR="00A137E9" w:rsidRDefault="00A137E9" w:rsidP="00E26366">
      <w:pPr>
        <w:spacing w:line="480" w:lineRule="auto"/>
        <w:jc w:val="both"/>
        <w:rPr>
          <w:rFonts w:ascii="Times New Roman" w:eastAsia="Times New Roman" w:hAnsi="Times New Roman" w:cs="Times New Roman"/>
          <w:i/>
          <w:iCs/>
          <w:color w:val="000000"/>
          <w:sz w:val="26"/>
          <w:szCs w:val="26"/>
        </w:rPr>
      </w:pPr>
      <w:r w:rsidRPr="00A137E9">
        <w:rPr>
          <w:rFonts w:ascii="Times New Roman" w:eastAsia="Times New Roman" w:hAnsi="Times New Roman" w:cs="Times New Roman"/>
          <w:b/>
          <w:bCs/>
          <w:color w:val="000000"/>
          <w:sz w:val="26"/>
          <w:szCs w:val="26"/>
        </w:rPr>
        <w:t>H3:</w:t>
      </w:r>
      <w:r w:rsidRPr="00EF5E73">
        <w:rPr>
          <w:rFonts w:ascii="Times New Roman" w:eastAsia="Times New Roman" w:hAnsi="Times New Roman" w:cs="Times New Roman"/>
          <w:color w:val="000000"/>
          <w:sz w:val="26"/>
          <w:szCs w:val="26"/>
        </w:rPr>
        <w:t xml:space="preserve"> </w:t>
      </w:r>
      <w:r w:rsidRPr="00A137E9">
        <w:rPr>
          <w:rFonts w:ascii="Times New Roman" w:eastAsia="Times New Roman" w:hAnsi="Times New Roman" w:cs="Times New Roman"/>
          <w:i/>
          <w:iCs/>
          <w:color w:val="000000"/>
          <w:sz w:val="26"/>
          <w:szCs w:val="26"/>
        </w:rPr>
        <w:t>Agility (</w:t>
      </w:r>
      <w:r w:rsidR="003C1E97">
        <w:rPr>
          <w:rFonts w:ascii="Times New Roman" w:eastAsia="Times New Roman" w:hAnsi="Times New Roman" w:cs="Times New Roman"/>
          <w:i/>
          <w:iCs/>
          <w:color w:val="000000"/>
          <w:sz w:val="26"/>
          <w:szCs w:val="26"/>
        </w:rPr>
        <w:t>AG</w:t>
      </w:r>
      <w:r w:rsidRPr="00A137E9">
        <w:rPr>
          <w:rFonts w:ascii="Times New Roman" w:eastAsia="Times New Roman" w:hAnsi="Times New Roman" w:cs="Times New Roman"/>
          <w:i/>
          <w:iCs/>
          <w:color w:val="000000"/>
          <w:sz w:val="26"/>
          <w:szCs w:val="26"/>
        </w:rPr>
        <w:t>) positively impacts Resource Orchestration Capability (</w:t>
      </w:r>
      <w:r w:rsidR="00DC73C4">
        <w:rPr>
          <w:rFonts w:ascii="Times New Roman" w:eastAsia="Times New Roman" w:hAnsi="Times New Roman" w:cs="Times New Roman"/>
          <w:i/>
          <w:iCs/>
          <w:color w:val="000000"/>
          <w:sz w:val="26"/>
          <w:szCs w:val="26"/>
        </w:rPr>
        <w:t>ROC</w:t>
      </w:r>
      <w:r w:rsidRPr="00A137E9">
        <w:rPr>
          <w:rFonts w:ascii="Times New Roman" w:eastAsia="Times New Roman" w:hAnsi="Times New Roman" w:cs="Times New Roman"/>
          <w:i/>
          <w:iCs/>
          <w:color w:val="000000"/>
          <w:sz w:val="26"/>
          <w:szCs w:val="26"/>
        </w:rPr>
        <w:t>)</w:t>
      </w:r>
    </w:p>
    <w:p w:rsidR="00AD3428" w:rsidRPr="00EF5E73" w:rsidRDefault="00AD3428" w:rsidP="00E26366">
      <w:pPr>
        <w:spacing w:line="480" w:lineRule="auto"/>
        <w:jc w:val="both"/>
        <w:rPr>
          <w:rFonts w:ascii="Times New Roman" w:eastAsia="Times New Roman" w:hAnsi="Times New Roman" w:cs="Times New Roman"/>
          <w:sz w:val="24"/>
          <w:szCs w:val="24"/>
        </w:rPr>
      </w:pPr>
    </w:p>
    <w:p w:rsidR="00A137E9" w:rsidRPr="00EF5E73" w:rsidRDefault="00A137E9" w:rsidP="00E26366">
      <w:pPr>
        <w:spacing w:before="240" w:after="0" w:line="480" w:lineRule="auto"/>
        <w:jc w:val="both"/>
        <w:rPr>
          <w:rFonts w:ascii="Times New Roman" w:eastAsia="Times New Roman" w:hAnsi="Times New Roman" w:cs="Times New Roman"/>
          <w:sz w:val="24"/>
          <w:szCs w:val="24"/>
        </w:rPr>
      </w:pPr>
      <w:r w:rsidRPr="00EF5E73">
        <w:rPr>
          <w:rFonts w:ascii="Times New Roman" w:eastAsia="Times New Roman" w:hAnsi="Times New Roman" w:cs="Times New Roman"/>
          <w:b/>
          <w:bCs/>
          <w:color w:val="000000"/>
          <w:sz w:val="26"/>
          <w:szCs w:val="26"/>
        </w:rPr>
        <w:lastRenderedPageBreak/>
        <w:t>3.1.4 Role of Resource Orchestration Capability </w:t>
      </w:r>
    </w:p>
    <w:p w:rsidR="00A137E9" w:rsidRDefault="00A137E9" w:rsidP="00E26366">
      <w:pPr>
        <w:pStyle w:val="NormalWeb"/>
        <w:spacing w:line="480" w:lineRule="auto"/>
        <w:jc w:val="both"/>
      </w:pPr>
      <w:r>
        <w:t xml:space="preserve">In the face of dynamic and turbulent external environments, organizations must continuously acquire, integrate, and reconfigure their resources and capabilities to remain competitive and resilient (Zhang et al., 2023). These evolving challenges emphasize the need for creative and strategic resource orchestration—where firms do not merely possess resources but actively utilize them to capitalize on opportunities, particularly those that emerge during periods of crisis (Park &amp; </w:t>
      </w:r>
      <w:proofErr w:type="spellStart"/>
      <w:r>
        <w:t>Seo</w:t>
      </w:r>
      <w:proofErr w:type="spellEnd"/>
      <w:r>
        <w:t xml:space="preserve">, 2024). Extending the foundational work of </w:t>
      </w:r>
      <w:proofErr w:type="spellStart"/>
      <w:r>
        <w:t>Sirmon</w:t>
      </w:r>
      <w:proofErr w:type="spellEnd"/>
      <w:r>
        <w:t xml:space="preserve"> et al. (2007), this study adopts the concept of </w:t>
      </w:r>
      <w:r w:rsidRPr="003E05A0">
        <w:t>Resource Orchestration Capability (</w:t>
      </w:r>
      <w:r w:rsidR="00DC73C4">
        <w:t>ROC</w:t>
      </w:r>
      <w:r w:rsidRPr="003E05A0">
        <w:t>),</w:t>
      </w:r>
      <w:r>
        <w:t xml:space="preserve"> which refers to a firm's ability to structure, bundle, and leverage its resources in a manner that supports the development of </w:t>
      </w:r>
      <w:r w:rsidRPr="003E05A0">
        <w:t>Organizational Resilience (</w:t>
      </w:r>
      <w:r w:rsidR="003C1E97">
        <w:t>OR</w:t>
      </w:r>
      <w:r w:rsidRPr="003E05A0">
        <w:t>).</w:t>
      </w:r>
    </w:p>
    <w:p w:rsidR="00A137E9" w:rsidRDefault="00A137E9" w:rsidP="00E26366">
      <w:pPr>
        <w:pStyle w:val="NormalWeb"/>
        <w:spacing w:line="480" w:lineRule="auto"/>
        <w:jc w:val="both"/>
      </w:pPr>
      <w:r>
        <w:t xml:space="preserve">Effective integration of </w:t>
      </w:r>
      <w:r w:rsidR="00897171">
        <w:t>firm’s technical</w:t>
      </w:r>
      <w:r>
        <w:t xml:space="preserve"> resources—such as data, platforms, digital infrastructure, talent, and intellectual property—forms the basis for higher-order capabilities. These capabilities are built when resources are not only acquired but also strategically bundled and deployed to achieve specific organizational objectives (Lu et al., 2023). </w:t>
      </w:r>
      <w:r w:rsidR="00DC73C4">
        <w:t>ROC</w:t>
      </w:r>
      <w:r>
        <w:t xml:space="preserve"> can be cultivated through the targeted acquisition of assets, recruitment of skilled talent, and the development of complementary managerial competencies (Jiang et al., 2024). Empirical research underscores that firms investing in </w:t>
      </w:r>
      <w:r w:rsidR="00897171">
        <w:t>technical</w:t>
      </w:r>
      <w:r>
        <w:t xml:space="preserve"> knowledge, IT skills, and human capital are more likely to possess superior business capabilities, thereby enhancing their agility and resilience in volatile environments (</w:t>
      </w:r>
      <w:proofErr w:type="spellStart"/>
      <w:r>
        <w:t>Wielgos</w:t>
      </w:r>
      <w:proofErr w:type="spellEnd"/>
      <w:r>
        <w:t xml:space="preserve"> et al., 2021).</w:t>
      </w:r>
    </w:p>
    <w:p w:rsidR="00A137E9" w:rsidRDefault="00A137E9" w:rsidP="00E26366">
      <w:pPr>
        <w:pStyle w:val="NormalWeb"/>
        <w:spacing w:line="480" w:lineRule="auto"/>
        <w:jc w:val="both"/>
      </w:pPr>
      <w:r>
        <w:t>Bundling of complementary resources enhances operational scalability and increases a firm’s robustness against future shocks (</w:t>
      </w:r>
      <w:proofErr w:type="spellStart"/>
      <w:r w:rsidR="00EC24ED">
        <w:t>Neb</w:t>
      </w:r>
      <w:r>
        <w:t>oh</w:t>
      </w:r>
      <w:proofErr w:type="spellEnd"/>
      <w:r>
        <w:t xml:space="preserve"> et al., 2023). As environmental conditions shift, organizations that actively reconfigure and realign their resource base are better equipped to sustain performance and ensure continuity (Park et al., 20</w:t>
      </w:r>
      <w:r w:rsidR="00EC24ED">
        <w:t>24</w:t>
      </w:r>
      <w:r>
        <w:t xml:space="preserve">). Moreover, the reconfiguration of </w:t>
      </w:r>
      <w:r w:rsidR="00897171">
        <w:t>resources</w:t>
      </w:r>
      <w:r>
        <w:t xml:space="preserve"> can serve as a pathway to innovation by facilitating their integration into new </w:t>
      </w:r>
      <w:r>
        <w:lastRenderedPageBreak/>
        <w:t>products, services, or business models (</w:t>
      </w:r>
      <w:proofErr w:type="spellStart"/>
      <w:r>
        <w:t>Gao</w:t>
      </w:r>
      <w:proofErr w:type="spellEnd"/>
      <w:r>
        <w:t xml:space="preserve"> et al., 2022). Resilience, particularly in digital contexts, requires that resources be activated and recombined in novel ways to meet emergent challenges (Sutcliffe &amp; </w:t>
      </w:r>
      <w:proofErr w:type="spellStart"/>
      <w:r>
        <w:t>Vogus</w:t>
      </w:r>
      <w:proofErr w:type="spellEnd"/>
      <w:r>
        <w:t>, 2003).</w:t>
      </w:r>
    </w:p>
    <w:p w:rsidR="00A137E9" w:rsidRDefault="00A137E9" w:rsidP="00E26366">
      <w:pPr>
        <w:pStyle w:val="NormalWeb"/>
        <w:spacing w:line="480" w:lineRule="auto"/>
        <w:jc w:val="both"/>
      </w:pPr>
      <w:r>
        <w:t>Leveraging digital technologies enables firms to enhance resilience by increasing the speed, accuracy, and responsiveness of decision-m</w:t>
      </w:r>
      <w:r w:rsidR="00EC24ED">
        <w:t>aking during disruptions (</w:t>
      </w:r>
      <w:r>
        <w:t xml:space="preserve">Lee et al., 2024). In the domain of supply chain management, </w:t>
      </w:r>
      <w:r w:rsidR="00DC73C4">
        <w:t>ROC</w:t>
      </w:r>
      <w:r>
        <w:t xml:space="preserve"> contributes to supply chain resilience by structuring, bundling, and leveraging digital tools and analytics capabilities (Lin et al., 2023). Empirical studies demonstrate that digitalization and data analytics play a significant role in building adaptive supply chains capable of withstanding and responding to environmental shocks (</w:t>
      </w:r>
      <w:proofErr w:type="spellStart"/>
      <w:r>
        <w:t>Queiroz</w:t>
      </w:r>
      <w:proofErr w:type="spellEnd"/>
      <w:r>
        <w:t xml:space="preserve"> et al., 2022; Yin &amp; Ran, 2022). Firms that strategically deploy digital technologies for sensing and responding are better positioned to foster organizational resilience and maintain performance in times of uncertainty (Lin et al., 2024).</w:t>
      </w:r>
    </w:p>
    <w:p w:rsidR="00A137E9" w:rsidRPr="00A137E9" w:rsidRDefault="00A137E9" w:rsidP="00E26366">
      <w:pPr>
        <w:pStyle w:val="NormalWeb"/>
        <w:spacing w:line="480" w:lineRule="auto"/>
        <w:jc w:val="both"/>
      </w:pPr>
      <w:r>
        <w:t>In this context, digital capabilities amplify the effectiveness of resilience strategies by facilitating timely access to actionable information and enabling real-time resource reconfiguration (</w:t>
      </w:r>
      <w:proofErr w:type="spellStart"/>
      <w:proofErr w:type="gramStart"/>
      <w:r>
        <w:t>Gao</w:t>
      </w:r>
      <w:proofErr w:type="spellEnd"/>
      <w:r>
        <w:t xml:space="preserve"> et al</w:t>
      </w:r>
      <w:proofErr w:type="gramEnd"/>
      <w:r>
        <w:t>., 2022). Furthermore, resource reconfiguration has been identified as a key mediator that links environmental alertness to resilience outcomes, reinforcing its strategic importance in dynamic environments (</w:t>
      </w:r>
      <w:proofErr w:type="spellStart"/>
      <w:r>
        <w:t>Queiroz</w:t>
      </w:r>
      <w:proofErr w:type="spellEnd"/>
      <w:r>
        <w:t xml:space="preserve"> et al., 2022). Thus, </w:t>
      </w:r>
      <w:r w:rsidR="00DC73C4">
        <w:t>ROC</w:t>
      </w:r>
      <w:r>
        <w:t xml:space="preserve"> emerges as a fundamental enabler of </w:t>
      </w:r>
      <w:r w:rsidR="00897171">
        <w:t>organizational</w:t>
      </w:r>
      <w:r>
        <w:t xml:space="preserve"> resilience, empowering organizations to survive, adapt, and thrive amidst continuous disruption. </w:t>
      </w:r>
      <w:r w:rsidRPr="00A137E9">
        <w:t>Based on the above argument, we hypothesize that,</w:t>
      </w:r>
    </w:p>
    <w:p w:rsidR="00A137E9" w:rsidRDefault="00A137E9" w:rsidP="00E26366">
      <w:pPr>
        <w:spacing w:line="480" w:lineRule="auto"/>
        <w:jc w:val="both"/>
        <w:rPr>
          <w:rFonts w:ascii="Times New Roman" w:eastAsia="Times New Roman" w:hAnsi="Times New Roman" w:cs="Times New Roman"/>
          <w:i/>
          <w:iCs/>
          <w:color w:val="000000"/>
          <w:sz w:val="26"/>
          <w:szCs w:val="26"/>
        </w:rPr>
      </w:pPr>
      <w:r w:rsidRPr="00A137E9">
        <w:rPr>
          <w:rFonts w:ascii="Times New Roman" w:eastAsia="Times New Roman" w:hAnsi="Times New Roman" w:cs="Times New Roman"/>
          <w:b/>
          <w:bCs/>
          <w:color w:val="000000"/>
          <w:sz w:val="26"/>
          <w:szCs w:val="26"/>
        </w:rPr>
        <w:t>H4:</w:t>
      </w:r>
      <w:r w:rsidRPr="00EF5E73">
        <w:rPr>
          <w:rFonts w:ascii="Times New Roman" w:eastAsia="Times New Roman" w:hAnsi="Times New Roman" w:cs="Times New Roman"/>
          <w:color w:val="000000"/>
          <w:sz w:val="26"/>
          <w:szCs w:val="26"/>
        </w:rPr>
        <w:t xml:space="preserve"> </w:t>
      </w:r>
      <w:r w:rsidR="00897171">
        <w:rPr>
          <w:rFonts w:ascii="Times New Roman" w:eastAsia="Times New Roman" w:hAnsi="Times New Roman" w:cs="Times New Roman"/>
          <w:color w:val="000000"/>
          <w:sz w:val="26"/>
          <w:szCs w:val="26"/>
        </w:rPr>
        <w:t>R</w:t>
      </w:r>
      <w:r w:rsidRPr="00A137E9">
        <w:rPr>
          <w:rFonts w:ascii="Times New Roman" w:eastAsia="Times New Roman" w:hAnsi="Times New Roman" w:cs="Times New Roman"/>
          <w:i/>
          <w:iCs/>
          <w:color w:val="000000"/>
          <w:sz w:val="26"/>
          <w:szCs w:val="26"/>
        </w:rPr>
        <w:t xml:space="preserve">esource Orchestration Capability </w:t>
      </w:r>
      <w:r>
        <w:rPr>
          <w:rFonts w:ascii="Times New Roman" w:eastAsia="Times New Roman" w:hAnsi="Times New Roman" w:cs="Times New Roman"/>
          <w:i/>
          <w:iCs/>
          <w:color w:val="000000"/>
          <w:sz w:val="26"/>
          <w:szCs w:val="26"/>
        </w:rPr>
        <w:t>(</w:t>
      </w:r>
      <w:r w:rsidR="00DC73C4">
        <w:rPr>
          <w:rFonts w:ascii="Times New Roman" w:eastAsia="Times New Roman" w:hAnsi="Times New Roman" w:cs="Times New Roman"/>
          <w:i/>
          <w:iCs/>
          <w:color w:val="000000"/>
          <w:sz w:val="26"/>
          <w:szCs w:val="26"/>
        </w:rPr>
        <w:t>ROC</w:t>
      </w:r>
      <w:r>
        <w:rPr>
          <w:rFonts w:ascii="Times New Roman" w:eastAsia="Times New Roman" w:hAnsi="Times New Roman" w:cs="Times New Roman"/>
          <w:i/>
          <w:iCs/>
          <w:color w:val="000000"/>
          <w:sz w:val="26"/>
          <w:szCs w:val="26"/>
        </w:rPr>
        <w:t xml:space="preserve">) positively </w:t>
      </w:r>
      <w:r w:rsidRPr="00A137E9">
        <w:rPr>
          <w:rFonts w:ascii="Times New Roman" w:eastAsia="Times New Roman" w:hAnsi="Times New Roman" w:cs="Times New Roman"/>
          <w:i/>
          <w:iCs/>
          <w:color w:val="000000"/>
          <w:sz w:val="26"/>
          <w:szCs w:val="26"/>
        </w:rPr>
        <w:t>affects organizational resilience (</w:t>
      </w:r>
      <w:r w:rsidR="00AD3428">
        <w:rPr>
          <w:rFonts w:ascii="Times New Roman" w:eastAsia="Times New Roman" w:hAnsi="Times New Roman" w:cs="Times New Roman"/>
          <w:i/>
          <w:iCs/>
          <w:color w:val="000000"/>
          <w:sz w:val="26"/>
          <w:szCs w:val="26"/>
        </w:rPr>
        <w:t>OR</w:t>
      </w:r>
      <w:r w:rsidRPr="00A137E9">
        <w:rPr>
          <w:rFonts w:ascii="Times New Roman" w:eastAsia="Times New Roman" w:hAnsi="Times New Roman" w:cs="Times New Roman"/>
          <w:i/>
          <w:iCs/>
          <w:color w:val="000000"/>
          <w:sz w:val="26"/>
          <w:szCs w:val="26"/>
        </w:rPr>
        <w:t>)</w:t>
      </w:r>
    </w:p>
    <w:p w:rsidR="00AD3428" w:rsidRDefault="00AD3428" w:rsidP="00E26366">
      <w:pPr>
        <w:spacing w:line="480" w:lineRule="auto"/>
        <w:jc w:val="both"/>
      </w:pPr>
    </w:p>
    <w:p w:rsidR="00B031D4" w:rsidRPr="00EF5E73" w:rsidRDefault="00B031D4" w:rsidP="00E26366">
      <w:pPr>
        <w:spacing w:before="240" w:after="240" w:line="480" w:lineRule="auto"/>
        <w:jc w:val="both"/>
        <w:rPr>
          <w:rFonts w:ascii="Times New Roman" w:eastAsia="Times New Roman" w:hAnsi="Times New Roman" w:cs="Times New Roman"/>
          <w:sz w:val="24"/>
          <w:szCs w:val="24"/>
        </w:rPr>
      </w:pPr>
      <w:r w:rsidRPr="00EF5E73">
        <w:rPr>
          <w:rFonts w:ascii="Times New Roman" w:eastAsia="Times New Roman" w:hAnsi="Times New Roman" w:cs="Times New Roman"/>
          <w:b/>
          <w:bCs/>
          <w:color w:val="000000"/>
          <w:sz w:val="26"/>
          <w:szCs w:val="26"/>
        </w:rPr>
        <w:lastRenderedPageBreak/>
        <w:t>3.1.</w:t>
      </w:r>
      <w:r w:rsidR="00A137E9">
        <w:rPr>
          <w:rFonts w:ascii="Times New Roman" w:eastAsia="Times New Roman" w:hAnsi="Times New Roman" w:cs="Times New Roman"/>
          <w:b/>
          <w:bCs/>
          <w:color w:val="000000"/>
          <w:sz w:val="26"/>
          <w:szCs w:val="26"/>
        </w:rPr>
        <w:t>5</w:t>
      </w:r>
      <w:r w:rsidRPr="00EF5E73">
        <w:rPr>
          <w:rFonts w:ascii="Times New Roman" w:eastAsia="Times New Roman" w:hAnsi="Times New Roman" w:cs="Times New Roman"/>
          <w:b/>
          <w:bCs/>
          <w:color w:val="000000"/>
          <w:sz w:val="26"/>
          <w:szCs w:val="26"/>
        </w:rPr>
        <w:t xml:space="preserve"> Role of </w:t>
      </w:r>
      <w:r w:rsidR="004656FF">
        <w:rPr>
          <w:rFonts w:ascii="Times New Roman" w:eastAsia="Times New Roman" w:hAnsi="Times New Roman" w:cs="Times New Roman"/>
          <w:b/>
          <w:bCs/>
          <w:color w:val="000000"/>
          <w:sz w:val="26"/>
          <w:szCs w:val="26"/>
        </w:rPr>
        <w:t>Environmental</w:t>
      </w:r>
      <w:r w:rsidRPr="00EF5E73">
        <w:rPr>
          <w:rFonts w:ascii="Times New Roman" w:eastAsia="Times New Roman" w:hAnsi="Times New Roman" w:cs="Times New Roman"/>
          <w:b/>
          <w:bCs/>
          <w:color w:val="000000"/>
          <w:sz w:val="26"/>
          <w:szCs w:val="26"/>
        </w:rPr>
        <w:t xml:space="preserve"> </w:t>
      </w:r>
      <w:r w:rsidR="004656FF">
        <w:rPr>
          <w:rFonts w:ascii="Times New Roman" w:eastAsia="Times New Roman" w:hAnsi="Times New Roman" w:cs="Times New Roman"/>
          <w:b/>
          <w:bCs/>
          <w:color w:val="000000"/>
          <w:sz w:val="26"/>
          <w:szCs w:val="26"/>
        </w:rPr>
        <w:t xml:space="preserve">Disruptions and </w:t>
      </w:r>
      <w:r w:rsidRPr="00EF5E73">
        <w:rPr>
          <w:rFonts w:ascii="Times New Roman" w:eastAsia="Times New Roman" w:hAnsi="Times New Roman" w:cs="Times New Roman"/>
          <w:b/>
          <w:bCs/>
          <w:color w:val="000000"/>
          <w:sz w:val="26"/>
          <w:szCs w:val="26"/>
        </w:rPr>
        <w:t>Turbulence</w:t>
      </w:r>
    </w:p>
    <w:p w:rsidR="00B031D4" w:rsidRDefault="00B031D4" w:rsidP="00E26366">
      <w:pPr>
        <w:pStyle w:val="NormalWeb"/>
        <w:spacing w:line="480" w:lineRule="auto"/>
        <w:jc w:val="both"/>
      </w:pPr>
      <w:r>
        <w:t xml:space="preserve">In today’s rapidly evolving </w:t>
      </w:r>
      <w:r w:rsidR="004656FF">
        <w:t>digital</w:t>
      </w:r>
      <w:r>
        <w:t xml:space="preserve"> landscape, organizations are increasingly confronted with continuous technological turbulence, driven by unpredictable shifts in innovation and market demands. This phenomenon, often referred to as </w:t>
      </w:r>
      <w:r w:rsidRPr="003E05A0">
        <w:t>technological turbulence</w:t>
      </w:r>
      <w:r>
        <w:t xml:space="preserve">, is marked by high velocity, uncertainty, and the frequent emergence of disruptive technologies—necessitating a more strategic and adaptive organizational response (Day &amp; </w:t>
      </w:r>
      <w:proofErr w:type="spellStart"/>
      <w:r>
        <w:t>Schoemaker</w:t>
      </w:r>
      <w:proofErr w:type="spellEnd"/>
      <w:r>
        <w:t xml:space="preserve">, 2019). The degree of environmental dynamism significantly influences how firms design and implement their business strategies. As </w:t>
      </w:r>
      <w:proofErr w:type="spellStart"/>
      <w:r>
        <w:t>Prange</w:t>
      </w:r>
      <w:proofErr w:type="spellEnd"/>
      <w:r>
        <w:t xml:space="preserve"> (2021) notes, in highly turbulent environments, agility becomes a critical strategic enabler, allowing firms to remain responsive and competitive. Conversely, in stable conditions, the incentive to invest in change-oriented capabilities diminishes, as the costs of transformation may outweigh perceived benefits.</w:t>
      </w:r>
    </w:p>
    <w:p w:rsidR="00A137E9" w:rsidRPr="00EF5E73" w:rsidRDefault="00B031D4" w:rsidP="00E26366">
      <w:pPr>
        <w:pStyle w:val="NormalWeb"/>
        <w:spacing w:line="480" w:lineRule="auto"/>
        <w:jc w:val="both"/>
      </w:pPr>
      <w:r>
        <w:t xml:space="preserve">In dynamic contexts, organizations must be capable of sensing emerging technological opportunities and responding swiftly to fast-changing consumer and market demands (Lee et al., 2015). This requires a shift from linear, incremental strategies to more flexible and iterative approaches. Organizational agility, in such cases, hinges on the effective balance between </w:t>
      </w:r>
      <w:r w:rsidRPr="00A137E9">
        <w:t>exploration</w:t>
      </w:r>
      <w:r>
        <w:t xml:space="preserve">—the pursuit of novel technological solutions—and </w:t>
      </w:r>
      <w:r w:rsidRPr="00A137E9">
        <w:t>exploitation</w:t>
      </w:r>
      <w:r>
        <w:t>—the optimization and refinement of existing capabilities (</w:t>
      </w:r>
      <w:proofErr w:type="spellStart"/>
      <w:r>
        <w:t>Stei</w:t>
      </w:r>
      <w:proofErr w:type="spellEnd"/>
      <w:r>
        <w:t xml:space="preserve"> et al., 2024). Together, these capabilities support the development of ambidexterity, enabling organizations not only to navigate volatility but also to transform uncertainty into strategic advantage. As </w:t>
      </w:r>
      <w:r w:rsidR="004656FF">
        <w:t>environmental</w:t>
      </w:r>
      <w:r>
        <w:t xml:space="preserve"> turbulence intensifies, cultivating such adaptive capabilities becomes imperative for sustaining consumer relevance and long-term competitive positioning.</w:t>
      </w:r>
      <w:r w:rsidR="00A137E9" w:rsidRPr="00A137E9">
        <w:t xml:space="preserve"> Thus, we hypothesize the following, </w:t>
      </w:r>
    </w:p>
    <w:p w:rsidR="00A137E9" w:rsidRPr="00A137E9" w:rsidRDefault="00A137E9" w:rsidP="00E26366">
      <w:pPr>
        <w:spacing w:before="240" w:after="240" w:line="480" w:lineRule="auto"/>
        <w:jc w:val="both"/>
        <w:rPr>
          <w:rFonts w:ascii="Times New Roman" w:eastAsia="Times New Roman" w:hAnsi="Times New Roman" w:cs="Times New Roman"/>
          <w:i/>
          <w:iCs/>
          <w:sz w:val="24"/>
          <w:szCs w:val="24"/>
        </w:rPr>
      </w:pPr>
      <w:r w:rsidRPr="00A137E9">
        <w:rPr>
          <w:rFonts w:ascii="Times New Roman" w:eastAsia="Times New Roman" w:hAnsi="Times New Roman" w:cs="Times New Roman"/>
          <w:b/>
          <w:bCs/>
          <w:color w:val="000000"/>
          <w:sz w:val="26"/>
          <w:szCs w:val="26"/>
        </w:rPr>
        <w:t>H5:</w:t>
      </w:r>
      <w:r w:rsidRPr="00EF5E73">
        <w:rPr>
          <w:rFonts w:ascii="Times New Roman" w:eastAsia="Times New Roman" w:hAnsi="Times New Roman" w:cs="Times New Roman"/>
          <w:color w:val="000000"/>
          <w:sz w:val="26"/>
          <w:szCs w:val="26"/>
        </w:rPr>
        <w:t xml:space="preserve"> </w:t>
      </w:r>
      <w:r w:rsidRPr="00A137E9">
        <w:rPr>
          <w:rFonts w:ascii="Times New Roman" w:eastAsia="Times New Roman" w:hAnsi="Times New Roman" w:cs="Times New Roman"/>
          <w:i/>
          <w:iCs/>
          <w:color w:val="000000"/>
          <w:sz w:val="26"/>
          <w:szCs w:val="26"/>
        </w:rPr>
        <w:t xml:space="preserve">The positive effect of </w:t>
      </w:r>
      <w:r w:rsidR="004656FF">
        <w:rPr>
          <w:rFonts w:ascii="Times New Roman" w:eastAsia="Times New Roman" w:hAnsi="Times New Roman" w:cs="Times New Roman"/>
          <w:i/>
          <w:iCs/>
          <w:color w:val="000000"/>
          <w:sz w:val="26"/>
          <w:szCs w:val="26"/>
        </w:rPr>
        <w:t>A</w:t>
      </w:r>
      <w:r w:rsidRPr="00A137E9">
        <w:rPr>
          <w:rFonts w:ascii="Times New Roman" w:eastAsia="Times New Roman" w:hAnsi="Times New Roman" w:cs="Times New Roman"/>
          <w:i/>
          <w:iCs/>
          <w:color w:val="000000"/>
          <w:sz w:val="26"/>
          <w:szCs w:val="26"/>
        </w:rPr>
        <w:t>mbidexterity (AD) is stronger on agility (</w:t>
      </w:r>
      <w:r w:rsidR="003C1E97">
        <w:rPr>
          <w:rFonts w:ascii="Times New Roman" w:eastAsia="Times New Roman" w:hAnsi="Times New Roman" w:cs="Times New Roman"/>
          <w:i/>
          <w:iCs/>
          <w:color w:val="000000"/>
          <w:sz w:val="26"/>
          <w:szCs w:val="26"/>
        </w:rPr>
        <w:t>AG</w:t>
      </w:r>
      <w:r w:rsidRPr="00A137E9">
        <w:rPr>
          <w:rFonts w:ascii="Times New Roman" w:eastAsia="Times New Roman" w:hAnsi="Times New Roman" w:cs="Times New Roman"/>
          <w:i/>
          <w:iCs/>
          <w:color w:val="000000"/>
          <w:sz w:val="26"/>
          <w:szCs w:val="26"/>
        </w:rPr>
        <w:t xml:space="preserve">) under higher degrees of </w:t>
      </w:r>
      <w:r w:rsidR="004656FF">
        <w:rPr>
          <w:rFonts w:ascii="Times New Roman" w:eastAsia="Times New Roman" w:hAnsi="Times New Roman" w:cs="Times New Roman"/>
          <w:i/>
          <w:iCs/>
          <w:color w:val="000000"/>
          <w:sz w:val="26"/>
          <w:szCs w:val="26"/>
        </w:rPr>
        <w:t xml:space="preserve">Environmental Dynamism </w:t>
      </w:r>
      <w:r w:rsidRPr="00A137E9">
        <w:rPr>
          <w:rFonts w:ascii="Times New Roman" w:eastAsia="Times New Roman" w:hAnsi="Times New Roman" w:cs="Times New Roman"/>
          <w:i/>
          <w:iCs/>
          <w:color w:val="000000"/>
          <w:sz w:val="26"/>
          <w:szCs w:val="26"/>
        </w:rPr>
        <w:t>(</w:t>
      </w:r>
      <w:r w:rsidR="003C1E97">
        <w:rPr>
          <w:rFonts w:ascii="Times New Roman" w:eastAsia="Times New Roman" w:hAnsi="Times New Roman" w:cs="Times New Roman"/>
          <w:i/>
          <w:iCs/>
          <w:color w:val="000000"/>
          <w:sz w:val="26"/>
          <w:szCs w:val="26"/>
        </w:rPr>
        <w:t>ENVD</w:t>
      </w:r>
      <w:r w:rsidRPr="00A137E9">
        <w:rPr>
          <w:rFonts w:ascii="Times New Roman" w:eastAsia="Times New Roman" w:hAnsi="Times New Roman" w:cs="Times New Roman"/>
          <w:i/>
          <w:iCs/>
          <w:color w:val="000000"/>
          <w:sz w:val="26"/>
          <w:szCs w:val="26"/>
        </w:rPr>
        <w:t>)</w:t>
      </w:r>
      <w:r w:rsidR="004656FF">
        <w:rPr>
          <w:rFonts w:ascii="Times New Roman" w:eastAsia="Times New Roman" w:hAnsi="Times New Roman" w:cs="Times New Roman"/>
          <w:i/>
          <w:iCs/>
          <w:color w:val="000000"/>
          <w:sz w:val="26"/>
          <w:szCs w:val="26"/>
        </w:rPr>
        <w:t>.</w:t>
      </w:r>
    </w:p>
    <w:p w:rsidR="00E51D6B" w:rsidRDefault="00A137E9" w:rsidP="00E26366">
      <w:pPr>
        <w:pStyle w:val="NormalWeb"/>
        <w:numPr>
          <w:ilvl w:val="0"/>
          <w:numId w:val="1"/>
        </w:numPr>
        <w:spacing w:line="480" w:lineRule="auto"/>
        <w:jc w:val="both"/>
        <w:rPr>
          <w:b/>
          <w:bCs/>
        </w:rPr>
      </w:pPr>
      <w:r>
        <w:rPr>
          <w:b/>
          <w:bCs/>
        </w:rPr>
        <w:lastRenderedPageBreak/>
        <w:t xml:space="preserve">Research </w:t>
      </w:r>
      <w:r w:rsidR="00E51D6B" w:rsidRPr="00E51D6B">
        <w:rPr>
          <w:b/>
          <w:bCs/>
        </w:rPr>
        <w:t>Method</w:t>
      </w:r>
    </w:p>
    <w:p w:rsidR="00A137E9" w:rsidRPr="00A137E9" w:rsidRDefault="00A137E9" w:rsidP="00E26366">
      <w:pPr>
        <w:spacing w:before="100" w:beforeAutospacing="1" w:after="100" w:afterAutospacing="1" w:line="480" w:lineRule="auto"/>
        <w:ind w:left="360"/>
        <w:outlineLvl w:val="2"/>
        <w:rPr>
          <w:rFonts w:ascii="Times New Roman" w:eastAsia="Times New Roman" w:hAnsi="Times New Roman" w:cs="Times New Roman"/>
          <w:b/>
          <w:bCs/>
          <w:sz w:val="27"/>
          <w:szCs w:val="27"/>
          <w:lang w:eastAsia="en-IN" w:bidi="hi-IN"/>
        </w:rPr>
      </w:pPr>
      <w:r w:rsidRPr="00A137E9">
        <w:rPr>
          <w:rFonts w:ascii="Times New Roman" w:eastAsia="Times New Roman" w:hAnsi="Times New Roman" w:cs="Times New Roman"/>
          <w:b/>
          <w:bCs/>
          <w:sz w:val="27"/>
          <w:szCs w:val="27"/>
          <w:lang w:eastAsia="en-IN" w:bidi="hi-IN"/>
        </w:rPr>
        <w:t>4.1 Sample and Data Collection</w:t>
      </w:r>
    </w:p>
    <w:p w:rsidR="00A137E9" w:rsidRPr="00A137E9" w:rsidRDefault="00A137E9" w:rsidP="00E26366">
      <w:pPr>
        <w:pStyle w:val="NormalWeb"/>
        <w:spacing w:line="480" w:lineRule="auto"/>
        <w:jc w:val="both"/>
      </w:pPr>
      <w:r w:rsidRPr="00A137E9">
        <w:t xml:space="preserve">This study employed a cross-sectional research design, with data collected via an online survey administered through the </w:t>
      </w:r>
      <w:proofErr w:type="spellStart"/>
      <w:r w:rsidRPr="00A137E9">
        <w:t>Qualtrics</w:t>
      </w:r>
      <w:proofErr w:type="spellEnd"/>
      <w:r w:rsidRPr="00A137E9">
        <w:t xml:space="preserve"> platform between April and May 202</w:t>
      </w:r>
      <w:r w:rsidR="004656FF">
        <w:t>5</w:t>
      </w:r>
      <w:r w:rsidRPr="00A137E9">
        <w:t xml:space="preserve">. Given the study's focus on </w:t>
      </w:r>
      <w:r w:rsidR="004656FF">
        <w:t xml:space="preserve">environmental dynamism and </w:t>
      </w:r>
      <w:r w:rsidRPr="00A137E9">
        <w:t xml:space="preserve">resilience </w:t>
      </w:r>
      <w:r w:rsidR="004656FF">
        <w:t>with two different dynamic capabilities</w:t>
      </w:r>
      <w:r w:rsidRPr="00A137E9">
        <w:t>, it was deemed important to include organizations across a wide range of industry sectors, rather than limiting the sample to a single domain. Accordingly, the sampling frame comprised firms operating within the Indian business environment across diverse sectors.</w:t>
      </w:r>
      <w:r>
        <w:t xml:space="preserve"> Table 1 </w:t>
      </w:r>
      <w:r w:rsidRPr="00A137E9">
        <w:t>provides a summary of the organizational profile of the participating firms</w:t>
      </w:r>
      <w:r>
        <w:t xml:space="preserve">. </w:t>
      </w:r>
      <w:r w:rsidRPr="00A137E9">
        <w:t xml:space="preserve">The unit of analysis for this study was the organization, as perceived by individuals occupying managerial roles. Respondents were selected based on their professional positions and familiarity with </w:t>
      </w:r>
      <w:r w:rsidR="004656FF">
        <w:t>organizational</w:t>
      </w:r>
      <w:r w:rsidRPr="00A137E9">
        <w:t xml:space="preserve"> practices and strategic initiatives within their firms. Participants were </w:t>
      </w:r>
      <w:r w:rsidR="004656FF">
        <w:t>selecte</w:t>
      </w:r>
      <w:r w:rsidRPr="00A137E9">
        <w:t xml:space="preserve">d using a </w:t>
      </w:r>
      <w:r w:rsidR="004656FF">
        <w:t>convenient</w:t>
      </w:r>
      <w:r w:rsidRPr="00A137E9">
        <w:t xml:space="preserve"> sampling approach through professional networks and personal contacts </w:t>
      </w:r>
      <w:r w:rsidR="004656FF">
        <w:t>from different companies</w:t>
      </w:r>
      <w:r w:rsidRPr="00A137E9">
        <w:t>, ensuring a wide and representative distribution across industries.</w:t>
      </w:r>
      <w:r>
        <w:t xml:space="preserve"> </w:t>
      </w:r>
      <w:r w:rsidRPr="00A137E9">
        <w:t xml:space="preserve">A total of </w:t>
      </w:r>
      <w:r w:rsidR="004656FF">
        <w:t>650</w:t>
      </w:r>
      <w:r w:rsidRPr="00A137E9">
        <w:t xml:space="preserve"> invitations were distributed to prospective respondents whose profiles aligned with the study's inclusion criteria. To ensure data quality, two attention-check items were embedded in the survey, and incomplete responses were removed during the data cleaning process. After applying these quality control measures, </w:t>
      </w:r>
      <w:r w:rsidR="004656FF">
        <w:t>311</w:t>
      </w:r>
      <w:r w:rsidRPr="00A137E9">
        <w:t xml:space="preserve"> complete and valid responses were retained for analysis, resulting in a response rate of approximately 4</w:t>
      </w:r>
      <w:r w:rsidR="004656FF">
        <w:t>7</w:t>
      </w:r>
      <w:r w:rsidRPr="00A137E9">
        <w:t>.</w:t>
      </w:r>
      <w:r w:rsidR="004656FF">
        <w:t>85</w:t>
      </w:r>
      <w:r w:rsidRPr="00A137E9">
        <w:t>%. Table 2 presents the demographic and professional characteristics of the respondents.</w:t>
      </w:r>
    </w:p>
    <w:p w:rsidR="001B2A37" w:rsidRPr="00A137E9" w:rsidRDefault="001B2A37" w:rsidP="004656FF">
      <w:pPr>
        <w:spacing w:after="0" w:line="480" w:lineRule="auto"/>
        <w:jc w:val="center"/>
        <w:rPr>
          <w:rFonts w:ascii="Times New Roman" w:eastAsia="Times New Roman" w:hAnsi="Times New Roman" w:cs="Times New Roman"/>
          <w:b/>
          <w:sz w:val="24"/>
          <w:szCs w:val="24"/>
        </w:rPr>
      </w:pPr>
      <w:proofErr w:type="gramStart"/>
      <w:r w:rsidRPr="00A137E9">
        <w:rPr>
          <w:rFonts w:ascii="Times New Roman" w:eastAsia="Times New Roman" w:hAnsi="Times New Roman" w:cs="Times New Roman"/>
          <w:b/>
          <w:sz w:val="24"/>
          <w:szCs w:val="24"/>
        </w:rPr>
        <w:t>Table 1.</w:t>
      </w:r>
      <w:proofErr w:type="gramEnd"/>
      <w:r w:rsidRPr="00A137E9">
        <w:rPr>
          <w:rFonts w:ascii="Times New Roman" w:eastAsia="Times New Roman" w:hAnsi="Times New Roman" w:cs="Times New Roman"/>
          <w:b/>
          <w:sz w:val="24"/>
          <w:szCs w:val="24"/>
        </w:rPr>
        <w:t xml:space="preserve"> Organization representation in the sample</w:t>
      </w:r>
    </w:p>
    <w:p w:rsidR="001B2A37" w:rsidRPr="00A137E9" w:rsidRDefault="001B2A37" w:rsidP="004656FF">
      <w:pPr>
        <w:spacing w:after="0" w:line="480" w:lineRule="auto"/>
        <w:jc w:val="center"/>
        <w:rPr>
          <w:rFonts w:ascii="Times New Roman" w:eastAsia="Times New Roman" w:hAnsi="Times New Roman" w:cs="Times New Roman"/>
          <w:b/>
          <w:sz w:val="26"/>
          <w:szCs w:val="26"/>
        </w:rPr>
      </w:pPr>
      <w:proofErr w:type="gramStart"/>
      <w:r w:rsidRPr="00A137E9">
        <w:rPr>
          <w:rFonts w:ascii="Times New Roman" w:eastAsia="Times New Roman" w:hAnsi="Times New Roman" w:cs="Times New Roman"/>
          <w:b/>
          <w:sz w:val="26"/>
          <w:szCs w:val="26"/>
        </w:rPr>
        <w:t>Table 2.</w:t>
      </w:r>
      <w:proofErr w:type="gramEnd"/>
      <w:r w:rsidRPr="00A137E9">
        <w:rPr>
          <w:rFonts w:ascii="Times New Roman" w:eastAsia="Times New Roman" w:hAnsi="Times New Roman" w:cs="Times New Roman"/>
          <w:b/>
          <w:sz w:val="26"/>
          <w:szCs w:val="26"/>
        </w:rPr>
        <w:t xml:space="preserve"> Respondent description</w:t>
      </w:r>
    </w:p>
    <w:p w:rsidR="00AD3428" w:rsidRDefault="00AD3428" w:rsidP="00E26366">
      <w:pPr>
        <w:spacing w:after="0" w:line="480" w:lineRule="auto"/>
        <w:jc w:val="both"/>
        <w:rPr>
          <w:rFonts w:ascii="Times New Roman" w:eastAsia="Times New Roman" w:hAnsi="Times New Roman" w:cs="Times New Roman"/>
          <w:b/>
          <w:sz w:val="26"/>
          <w:szCs w:val="26"/>
        </w:rPr>
      </w:pPr>
    </w:p>
    <w:p w:rsidR="00A137E9" w:rsidRDefault="00A137E9" w:rsidP="00E26366">
      <w:pPr>
        <w:spacing w:after="0" w:line="48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4.2 Measures</w:t>
      </w:r>
    </w:p>
    <w:p w:rsidR="00A137E9" w:rsidRPr="00AD3B42" w:rsidRDefault="00AD3B42" w:rsidP="00E26366">
      <w:pPr>
        <w:pStyle w:val="NormalWeb"/>
        <w:spacing w:line="480" w:lineRule="auto"/>
        <w:jc w:val="both"/>
      </w:pPr>
      <w:r w:rsidRPr="00AD3B42">
        <w:t xml:space="preserve">The study uses established scales in the literature to measure the variables of concern. The items of the questionnaire were measured using a Likert five-point scale ranging from 1 = Strongly Disagree to 5 = Strongly Agree. The basis for the questionnaire items adopted in this study was derived from established research and validated scales which are widely used in the fields of </w:t>
      </w:r>
      <w:r w:rsidR="004656FF">
        <w:t>environmental dynamism</w:t>
      </w:r>
      <w:r w:rsidRPr="00AD3B42">
        <w:t xml:space="preserve">, ambidexterity, agility, resource orchestration capability, and organizational resilience. We measure </w:t>
      </w:r>
      <w:r w:rsidR="003C1E97">
        <w:t>ENVD</w:t>
      </w:r>
      <w:r w:rsidRPr="00AD3B42">
        <w:t xml:space="preserve"> based on the scale proposed by</w:t>
      </w:r>
      <w:r w:rsidR="00A06944">
        <w:t xml:space="preserve"> </w:t>
      </w:r>
      <w:r w:rsidR="00A06944">
        <w:fldChar w:fldCharType="begin"/>
      </w:r>
      <w:r w:rsidR="00A06944">
        <w:instrText xml:space="preserve"> ADDIN ZOTERO_ITEM CSL_CITATION {"citationID":"W9DkLYM3","properties":{"formattedCitation":"(Miller, 1987)","plainCitation":"(Miller, 1987)","noteIndex":0},"citationItems":[{"id":8622,"uris":["http://zotero.org/users/12485464/items/B9QH8M75"],"itemData":{"id":8622,"type":"article-journal","abstract":"Abstract\n            An attempt is made to relate several common dimensions of business‐level strategy to their organizational contexts. A model is developed that predicts the structural and environmental correlates of a strategy on the basis of the number and uncertainty of its contingencies. It is shown that strategies of complex product innovation, marketing differentiation, market breadth and conservative cost control each have pronounced but very different relationships with bureaucratic and organic structural devices of uncertainty reduction, differentiation and integration, and with environmental dynamism, heterogeneity and hostility.","container-title":"Strategic Management Journal","DOI":"10.1002/smj.4250080106","ISSN":"0143-2095, 1097-0266","issue":"1","journalAbbreviation":"Strategic Management Journal","language":"en","license":"http://onlinelibrary.wiley.com/termsAndConditions#vor","page":"55-76","source":"DOI.org (Crossref)","title":"The structural and environmental correlates of business strategy","volume":"8","author":[{"family":"Miller","given":"Danny"}],"issued":{"date-parts":[["1987",1]]}}}],"schema":"https://github.com/citation-style-language/schema/raw/master/csl-citation.json"} </w:instrText>
      </w:r>
      <w:r w:rsidR="00A06944">
        <w:fldChar w:fldCharType="separate"/>
      </w:r>
      <w:r w:rsidR="00A06944" w:rsidRPr="00A06944">
        <w:t>(Miller, 1987)</w:t>
      </w:r>
      <w:r w:rsidR="00A06944">
        <w:fldChar w:fldCharType="end"/>
      </w:r>
      <w:r w:rsidRPr="00AD3B42">
        <w:t xml:space="preserve">, which records quick, unpredictable changes in the </w:t>
      </w:r>
      <w:r w:rsidR="004656FF">
        <w:t>business environment</w:t>
      </w:r>
      <w:r w:rsidRPr="00AD3B42">
        <w:t xml:space="preserve"> caused when many technologies mature at once, introducing new features with heightened uncertainty. We measure </w:t>
      </w:r>
      <w:r w:rsidR="004656FF">
        <w:t>Ambidexterity (</w:t>
      </w:r>
      <w:r w:rsidR="003C1E97">
        <w:t>AD</w:t>
      </w:r>
      <w:r w:rsidR="004656FF">
        <w:t>)</w:t>
      </w:r>
      <w:r w:rsidRPr="00AD3B42">
        <w:t xml:space="preserve"> based on </w:t>
      </w:r>
      <w:proofErr w:type="spellStart"/>
      <w:r w:rsidRPr="00AD3B42">
        <w:t>a</w:t>
      </w:r>
      <w:proofErr w:type="spellEnd"/>
      <w:r w:rsidRPr="00AD3B42">
        <w:t xml:space="preserve"> eight-item multidimensional scale of organizational ambidexterity adopted in digital context </w:t>
      </w:r>
      <w:r w:rsidRPr="00AD3B42">
        <w:fldChar w:fldCharType="begin"/>
      </w:r>
      <w:r w:rsidR="00A06944">
        <w:instrText xml:space="preserve"> ADDIN ZOTERO_ITEM CSL_CITATION {"citationID":"ZPZsh2Nu","properties":{"formattedCitation":"(Benner, 2003; Jansen et al., 2006; Lubatkin et al., 2006)","plainCitation":"(Benner, 2003; Jansen et al., 2006; Lubatkin et al., 2006)","dontUpdate":true,"noteIndex":0},"citationItems":[{"id":"QofK7fDs/iZrfDACq","uris":["http://zotero.org/users/12485464/items/V84LHCWR"],"itemData":{"id":16768,"type":"article-journal","language":"en","source":"Zotero","title":"Exploitation, Exploration, and Process Management: The Productivity Dilemma Revisited","author":[{"family":"Benner","given":"Mary J"}],"issued":{"date-parts":[["2003"]]}}},{"id":"QofK7fDs/VZ7mRePG","uris":["http://zotero.org/users/12485464/items/4SUTZSHP"],"itemData":{"id":12608,"type":"article-journal","abstract":"Research on exploration and exploitation is burgeoning, yet our understanding of the antecedents and consequences of both activities remains rather unclear. We advance the growing body of literature by focusing on the apparent differences of exploration and exploitation and examining implications for using formal (i.e., centralization and formalization) and informal (i.e., connectedness) coordination mechanisms. This study further examines how environmental aspects (i.e., dynamism and competitiveness) moderate the effectiveness of exploratory and exploitative innovation. Results indicate that centralization negatively affects exploratory innovation, whereas formalization positively influences exploitative innovation. Interestingly, connectedness within units appears to be an important antecedent of both exploratory and exploitative innovation. Furthermore, our findings reveal that pursuing exploratory innovation is more effective in dynamic environments, whereas pursuing exploitative innovation is more beneficial to a unit’s financial performance in more competitive environments. Through this richer explanation and empirical assessment, we contribute to a greater clarity and better understanding of how ambidextrous organizations coordinate the development of exploratory and exploitative innovation in organizational units and successfully respond to multiple environmental conditions.","container-title":"Management Science","DOI":"10.1287/mnsc.1060.0576","ISSN":"0025-1909, 1526-5501","issue":"11","journalAbbreviation":"Management Science","language":"en","page":"1661-1674","source":"DOI.org (Crossref)","title":"Exploratory Innovation, Exploitative Innovation, and Performance: Effects of Organizational Antecedents and Environmental Moderators","title-short":"Exploratory Innovation, Exploitative Innovation, and Performance","volume":"52","author":[{"family":"Jansen","given":"Justin J. P."},{"family":"Van Den Bosch","given":"Frans A. J."},{"family":"Volberda","given":"Henk W."}],"issued":{"date-parts":[["2006",11]]}}},{"id":"QofK7fDs/P7fqJH9L","uris":["http://zotero.org/users/12485464/items/GJHC8NTE"],"itemData":{"id":16766,"type":"article-journal","abstract":"While a firm’s ability to jointly pursue both an exploitative and exploratory orientation has been posited as having positive performance effects, little is currently known about the antecedents and consequences of such ambidexterity in small-to medium-sized firms (SMEs). To that end, this study focuses on the pivotal role of top management team (TMT) behavioral integration in facilitating the processing of disparate demands essential to attaining ambidexterity in SMEs. Then, to address the bottom-line importance of an ambidextrous orientation, the study hypothesizes its association with relative firm performance. Multisource survey data, including CEOs and TMT members from 139 SMEs, provide support for both hypotheses.","container-title":"Journal of Management","DOI":"10.1177/0149206306290712","ISSN":"0149-2063, 1557-1211","issue":"5","journalAbbreviation":"Journal of Management","language":"en","license":"https://journals.sagepub.com/page/policies/text-and-data-mining-license","page":"646-672","source":"DOI.org (Crossref)","title":"Ambidexterity and Performance in Small-to Medium-Sized Firms: The Pivotal Role of Top Management Team Behavioral Integration","title-short":"Ambidexterity and Performance in Small-to Medium-Sized Firms","volume":"32","author":[{"family":"Lubatkin","given":"Michael H."},{"family":"Simsek","given":"Zeki"},{"family":"Ling","given":"Yan"},{"family":"Veiga","given":"John F."}],"issued":{"date-parts":[["2006",10]]}}}],"schema":"https://github.com/citation-style-language/schema/raw/master/csl-citation.json"} </w:instrText>
      </w:r>
      <w:r w:rsidRPr="00AD3B42">
        <w:fldChar w:fldCharType="separate"/>
      </w:r>
      <w:r w:rsidRPr="00AD3B42">
        <w:t>(Benner, 2003; Jansen et al., 200</w:t>
      </w:r>
      <w:r w:rsidR="003C1F43">
        <w:t>8</w:t>
      </w:r>
      <w:r w:rsidRPr="00AD3B42">
        <w:t>; Lubatkin et al., 2006)</w:t>
      </w:r>
      <w:r w:rsidRPr="00AD3B42">
        <w:fldChar w:fldCharType="end"/>
      </w:r>
      <w:r w:rsidRPr="00AD3B42">
        <w:t>. The study adopts t</w:t>
      </w:r>
      <w:r w:rsidR="00266A9F">
        <w:t xml:space="preserve">he </w:t>
      </w:r>
      <w:r w:rsidRPr="00AD3B42">
        <w:t>agility (</w:t>
      </w:r>
      <w:r w:rsidR="003C1E97">
        <w:t>AG</w:t>
      </w:r>
      <w:r w:rsidRPr="00AD3B42">
        <w:t xml:space="preserve">) scale from </w:t>
      </w:r>
      <w:r w:rsidRPr="00AD3B42">
        <w:fldChar w:fldCharType="begin"/>
      </w:r>
      <w:r w:rsidR="00A06944">
        <w:instrText xml:space="preserve"> ADDIN ZOTERO_ITEM CSL_CITATION {"citationID":"Obm2XMjs","properties":{"formattedCitation":"(K\\uc0\\u337{}, et al., 2023)","plainCitation":"(Kő, et al., 2023)","noteIndex":0},"citationItems":[{"id":"QofK7fDs/IyfhflpX","uris":["http://zotero.org/users/12485464/items/3BCYVYZV"],"itemData":{"id":11752,"type":"article-journal","abstract":"This paper aims to discuss the role of digital agility and digital competitiveness in SMEs’ innovative performance in the context of a digitally turbulent environment. While SME innovative performance is a key research topic, we did not find recent research that investigates the relationship between digital agility, digital competitiveness, and innovative performance in the context of SMEs. The research is part of ongoing work in which the IT-related practice of Hungarian organizations has been explored on an annual basis since 2009. We applied a combined research methodology; both qualitative and quantitative methods were used, including surveying digital transformation literature, developing a survey to collect quantitative data, data collection, and processing with PLS-SEM. According to our model, SMEs are worth investing in and developing risk taking and change capabilities from their organizational culture to increase digital innovation capability and digital transformation maturity, which leads to better innovative performance. The uniqueness of our research is that, according to the literature, the innovative performance of SMEs is an under-researched area, if we take into consideration digital agility and digital competitiveness. The COVID-19 pandemic also reinforced the role of these factors in SME survival. Our main contribution is that we provide a conceptual framework for improving SMEs’ innovative performance through digital agility and digital competitiveness in digital turbulence.","container-title":"Journal of Competitiveness","DOI":"10.7441/joc.2022.04.05","ISSN":"1804171X, 18041728","issue":"4","journalAbbreviation":"JOC","language":"en","source":"DOI.org (Crossref)","title":"Digital Agility, Digital Competitiveness, and Innovative Performance of SMEs","URL":"https://www.cjournal.cz/files/466.pdf","volume":"14","author":[{"family":"Kő,","given":"Andrea"},{"family":"Mitev","given":"Ariel"},{"family":"Fehér","given":"Péter"},{"family":"Szabó","given":"Zoltán"}],"accessed":{"date-parts":[["2024",2,20]]},"issued":{"date-parts":[["2023",1,2]]}}}],"schema":"https://github.com/citation-style-language/schema/raw/master/csl-citation.json"} </w:instrText>
      </w:r>
      <w:r w:rsidRPr="00AD3B42">
        <w:fldChar w:fldCharType="separate"/>
      </w:r>
      <w:r w:rsidRPr="00AD3B42">
        <w:t>(Kő, et al., 2023)</w:t>
      </w:r>
      <w:r w:rsidRPr="00AD3B42">
        <w:fldChar w:fldCharType="end"/>
      </w:r>
      <w:r w:rsidRPr="00AD3B42">
        <w:t xml:space="preserve">. This seven-item scale records the changing ability and risk taking in different organizational processes. The </w:t>
      </w:r>
      <w:r w:rsidR="00DC73C4">
        <w:t>ROC</w:t>
      </w:r>
      <w:r w:rsidRPr="00AD3B42">
        <w:t xml:space="preserve"> scale has been adopted from </w:t>
      </w:r>
      <w:r w:rsidRPr="00AD3B42">
        <w:fldChar w:fldCharType="begin"/>
      </w:r>
      <w:r w:rsidR="00A06944">
        <w:instrText xml:space="preserve"> ADDIN ZOTERO_ITEM CSL_CITATION {"citationID":"P038EJ61","properties":{"formattedCitation":"(Kristoffersen et al., 2021)","plainCitation":"(Kristoffersen et al., 2021)","noteIndex":0},"citationItems":[{"id":"QofK7fDs/ohZq2yuS","uris":["http://zotero.org/users/12485464/items/RXASS4G6"],"itemData":{"id":11756,"type":"article-journal","abstract":"Today, most organizations are undergoing a digital transformation. At the same time, the gravity of environ­ mental issues has put sustainability and the circular economy at the top of corporate agendas. To this end, in­ formation systems, in particular business analytics, are being highlighted as essential enablers of an accelerated circular economy transition. However, effectively managing this joint transformation is a challenge. Firms struggle to identify which organizational resources they should target and how those should be leveraged to­ wards a firm-wide business analytics capability for circular economy. To address these questions, this study draws on recent literature dealing with smart circular economy and business analytics capabilities along with the resource-based and resource orchestration view to (1) create an instrument to measure firms’ business analytics capability for circular economy, and (2) examine the relationship among a circular economy-specific business analytics capability, circular economy implementation, resource orchestration capability, and firm performance. The proposed research model was tested using partial least squares structural equation modeling of survey data from 125 top-level managers at companies across Europe. The results show that firms with a strong business analytics capability have an increased resource orchestration capability and a greater ability to excel in the circular economy, resulting in improved organizational performance in building a more sustainable competitive advantage in an increasingly competitive business landscape. The effect of business analytics capability on firm performance is not direct but fully mediated through resource orchestration capability and circular economy implementation. The results empirically validate the proposed research model and offer pathways to future information systems research streams to support the operationalization of circular strategies. The study provides the first empirical evidence of a business analytics capability for circular economy and its effect on firm performance.","container-title":"International Journal of Production Economics","DOI":"10.1016/j.ijpe.2021.108205","ISSN":"09255273","journalAbbreviation":"International Journal of Production Economics","language":"en","page":"108205","source":"DOI.org (Crossref)","title":"The effects of business analytics capability on circular economy implementation, resource orchestration capability, and firm performance","volume":"239","author":[{"family":"Kristoffersen","given":"Eivind"},{"family":"Mikalef","given":"Patrick"},{"family":"Blomsma","given":"Fenna"},{"family":"Li","given":"Jingyue"}],"issued":{"date-parts":[["2021",9]]}}}],"schema":"https://github.com/citation-style-language/schema/raw/master/csl-citation.json"} </w:instrText>
      </w:r>
      <w:r w:rsidRPr="00AD3B42">
        <w:fldChar w:fldCharType="separate"/>
      </w:r>
      <w:r w:rsidRPr="00AD3B42">
        <w:t>(Kristoffersen et al., 2021)</w:t>
      </w:r>
      <w:r w:rsidRPr="00AD3B42">
        <w:fldChar w:fldCharType="end"/>
      </w:r>
      <w:r w:rsidRPr="00AD3B42">
        <w:t xml:space="preserve"> which measures the sub-dimensions of ROC as structuring, leveraging and bundling in the organizational processes. The organizational resilience (</w:t>
      </w:r>
      <w:r w:rsidR="003C1E97">
        <w:t>OR</w:t>
      </w:r>
      <w:r w:rsidRPr="00AD3B42">
        <w:t xml:space="preserve">) scale is a five-item scale adopted from </w:t>
      </w:r>
      <w:r w:rsidRPr="00AD3B42">
        <w:fldChar w:fldCharType="begin"/>
      </w:r>
      <w:r w:rsidR="00A06944">
        <w:instrText xml:space="preserve"> ADDIN ZOTERO_ITEM CSL_CITATION {"citationID":"xWMdiIYB","properties":{"formattedCitation":"(Shao &amp; An, 2024)","plainCitation":"(Shao &amp; An, 2024)","noteIndex":0},"citationItems":[{"id":"QofK7fDs/vB6X8YbO","uris":["http://zotero.org/users/12485464/items/LTHXX3QE"],"itemData":{"id":10631,"type":"article-journal","abstract":"In a turbulent environment, organizational resilience is critical to a ﬁrm’s survival and long-term development. Speciﬁc assets, as a strategic resource for ﬁrms seeking a competitive advantage, have a “double-edged sword” effect on organizational resilience. There is less literature on the relationship between asset speciﬁcity and organizational resilience, and their perspectives differ. On the one hand, as the ﬁrm’s “nuclear resource,” speciﬁc assets have “unique competitiveness” and assist the ﬁrm in resisting competitors and disruption. Speciﬁc assets, on the other hand, are “high locking,” making them unsuitable for the volatile environment. Its impact on resilience is contradictory, and it merits further investigation. This article investigates the impact of diverse types of asset speciﬁcity on organizational resilience and analyzes data from 302 Chinese ﬁrms. The ﬁndings show that “hard” asset speciﬁcity has a negative impact on organizational resilience, whereas “soft” asset speciﬁcity has a positive impact. As a dynamic capability, strategic ﬂexibility mediates between speciﬁc assets and organizational resilience. Furthermore, organizational memory has a negative moderating effect on the relationship between strategic ﬂexibility and organizational resilience. While organizational memory is useful for daily decision-making, it is ineffective for developing organizational resilience in turbulent environments. The article provides strategies for ﬁrms to invest in speciﬁc assets for the sake of developing organizational resilience.","container-title":"IEEE Transactions on Engineering Management","DOI":"10.1109/TEM.2022.3164429","ISSN":"0018-9391, 1558-0040","journalAbbreviation":"IEEE Trans. Eng. Manage.","language":"en","page":"1900-1911","source":"DOI.org (Crossref)","title":"Contradiction or Consistency: The “Double-Edged Sword” Effect of Asset Specificity on Organizational Resilience","title-short":"Contradiction or Consistency","volume":"71","author":[{"family":"Shao","given":"Meirong"},{"family":"An","given":"Liren"}],"issued":{"date-parts":[["2024"]]}}}],"schema":"https://github.com/citation-style-language/schema/raw/master/csl-citation.json"} </w:instrText>
      </w:r>
      <w:r w:rsidRPr="00AD3B42">
        <w:fldChar w:fldCharType="separate"/>
      </w:r>
      <w:r w:rsidRPr="00AD3B42">
        <w:t>(Shao &amp; An, 2024)</w:t>
      </w:r>
      <w:r w:rsidRPr="00AD3B42">
        <w:fldChar w:fldCharType="end"/>
      </w:r>
      <w:r w:rsidRPr="00AD3B42">
        <w:t>. The study ensures the face validity of all questionnaire items through a team of academicians and industry experts. They were asked to validate the items based on their representativeness of the construct, redundancy and clarity of the language used. The operationalization of the scales of all the above variables is demonstrated in Appendix A.</w:t>
      </w:r>
    </w:p>
    <w:p w:rsidR="00AD3B42" w:rsidRDefault="00AD3B42" w:rsidP="00E26366">
      <w:pPr>
        <w:pStyle w:val="NormalWeb"/>
        <w:spacing w:line="480" w:lineRule="auto"/>
        <w:jc w:val="both"/>
      </w:pPr>
      <w:r>
        <w:t xml:space="preserve">To account for potential confounding effects and enhance the robustness of the model, this study incorporates two control variables: </w:t>
      </w:r>
      <w:r w:rsidRPr="003E05A0">
        <w:t>organizational</w:t>
      </w:r>
      <w:r w:rsidRPr="00AD3B42">
        <w:rPr>
          <w:b/>
          <w:bCs/>
        </w:rPr>
        <w:t xml:space="preserve"> </w:t>
      </w:r>
      <w:r w:rsidRPr="003E05A0">
        <w:t>size</w:t>
      </w:r>
      <w:r>
        <w:t xml:space="preserve"> and </w:t>
      </w:r>
      <w:r w:rsidRPr="003E05A0">
        <w:t>organizational</w:t>
      </w:r>
      <w:r w:rsidRPr="00AD3B42">
        <w:rPr>
          <w:b/>
          <w:bCs/>
        </w:rPr>
        <w:t xml:space="preserve"> </w:t>
      </w:r>
      <w:r w:rsidRPr="003E05A0">
        <w:t>age</w:t>
      </w:r>
      <w:r>
        <w:t>. Organizational size is controlled for due to its potential impact on a firm’s responsiveness to disruption. Smaller organizations typically have flatter hierarchies and shorter decision-</w:t>
      </w:r>
      <w:r>
        <w:lastRenderedPageBreak/>
        <w:t>making chains, which may enable them to respond more swiftly and flexibly to external shocks compared to larger firms (</w:t>
      </w:r>
      <w:proofErr w:type="gramStart"/>
      <w:r>
        <w:t>d’Amboise</w:t>
      </w:r>
      <w:proofErr w:type="gramEnd"/>
      <w:r>
        <w:t xml:space="preserve"> &amp; </w:t>
      </w:r>
      <w:proofErr w:type="spellStart"/>
      <w:r>
        <w:t>Muldowney</w:t>
      </w:r>
      <w:proofErr w:type="spellEnd"/>
      <w:r>
        <w:t>, 1988). Therefore, organizational size is included as a control to isolate the effects of agility and resilience from structural responsiveness.</w:t>
      </w:r>
    </w:p>
    <w:p w:rsidR="00AD3B42" w:rsidRDefault="00AD3B42" w:rsidP="00E26366">
      <w:pPr>
        <w:pStyle w:val="NormalWeb"/>
        <w:spacing w:line="480" w:lineRule="auto"/>
        <w:jc w:val="both"/>
      </w:pPr>
      <w:r>
        <w:t xml:space="preserve">The second control variable, organizational </w:t>
      </w:r>
      <w:proofErr w:type="gramStart"/>
      <w:r>
        <w:t>age,</w:t>
      </w:r>
      <w:proofErr w:type="gramEnd"/>
      <w:r>
        <w:t xml:space="preserve"> is introduced based on the premise that firms with longer market experience are more likely to have encountered various disruptions in the past. This historical exposure may contribute to accumulated knowledge and more developed capabilities for managing adversity (</w:t>
      </w:r>
      <w:proofErr w:type="spellStart"/>
      <w:r>
        <w:t>Thornhill</w:t>
      </w:r>
      <w:proofErr w:type="spellEnd"/>
      <w:r>
        <w:t xml:space="preserve"> &amp; </w:t>
      </w:r>
      <w:proofErr w:type="spellStart"/>
      <w:r>
        <w:t>Amit</w:t>
      </w:r>
      <w:proofErr w:type="spellEnd"/>
      <w:r>
        <w:t>, 2003). Thus, controlling for organizational age helps to account for variance in resilience-related outcomes due to experiential learning and institutional memory.</w:t>
      </w:r>
    </w:p>
    <w:p w:rsidR="00AD3B42" w:rsidRPr="007947B2" w:rsidRDefault="00AD3B42" w:rsidP="00E26366">
      <w:pPr>
        <w:spacing w:line="480" w:lineRule="auto"/>
        <w:jc w:val="both"/>
        <w:rPr>
          <w:rFonts w:ascii="Times New Roman" w:eastAsia="Times New Roman" w:hAnsi="Times New Roman" w:cs="Times New Roman"/>
          <w:b/>
          <w:sz w:val="26"/>
          <w:szCs w:val="26"/>
        </w:rPr>
      </w:pPr>
      <w:r w:rsidRPr="007947B2">
        <w:rPr>
          <w:rFonts w:ascii="Times New Roman" w:eastAsia="Times New Roman" w:hAnsi="Times New Roman" w:cs="Times New Roman"/>
          <w:b/>
          <w:sz w:val="26"/>
          <w:szCs w:val="26"/>
        </w:rPr>
        <w:t>4.3</w:t>
      </w:r>
      <w:r w:rsidRPr="007947B2">
        <w:rPr>
          <w:rFonts w:ascii="Times New Roman" w:eastAsia="Times New Roman" w:hAnsi="Times New Roman" w:cs="Times New Roman"/>
          <w:b/>
          <w:sz w:val="26"/>
          <w:szCs w:val="26"/>
        </w:rPr>
        <w:tab/>
        <w:t>Systematic Measurement Error and Bias</w:t>
      </w:r>
    </w:p>
    <w:p w:rsidR="00AD3B42" w:rsidRDefault="00AD3B42" w:rsidP="00E26366">
      <w:pPr>
        <w:pStyle w:val="NormalWeb"/>
        <w:spacing w:line="480" w:lineRule="auto"/>
        <w:jc w:val="both"/>
      </w:pPr>
      <w:r w:rsidRPr="007947B2">
        <w:t>In survey-based research, common method bias (CMB) can artificially inflate the observed relationships between constructs due to the use of a single data source (</w:t>
      </w:r>
      <w:proofErr w:type="spellStart"/>
      <w:r w:rsidRPr="007947B2">
        <w:t>Podsakoff</w:t>
      </w:r>
      <w:proofErr w:type="spellEnd"/>
      <w:r w:rsidRPr="007947B2">
        <w:t xml:space="preserve"> et al., 2003). To mitigate the influence of CMB, this study employed several procedural remedies during the survey design and administration phase. Specifically, we selected knowledgeable respondents (i.e., domain experts), randomized the order of survey items, ensured conceptual separation between independent and dependent variables, and included attention-check questions to enhance response validity (Jordan &amp; Troth, 2020). Beyond procedural safeguards, we applied two statistical techniques to assess the presence of CMB. First, we conducted Harman’s one-factor test, a widely used diagnostic method. The results showed that a single factor accounted for only 45.06% of the total variance, which is below the recommended threshold of 50%, indicating that common method variance is unlikely to be a significant issue. Second, we employed full </w:t>
      </w:r>
      <w:proofErr w:type="spellStart"/>
      <w:r w:rsidRPr="007947B2">
        <w:t>collinearity</w:t>
      </w:r>
      <w:proofErr w:type="spellEnd"/>
      <w:r w:rsidRPr="007947B2">
        <w:t xml:space="preserve"> testing using </w:t>
      </w:r>
      <w:proofErr w:type="spellStart"/>
      <w:r w:rsidRPr="007947B2">
        <w:t>SmartPLS</w:t>
      </w:r>
      <w:proofErr w:type="spellEnd"/>
      <w:r w:rsidRPr="007947B2">
        <w:t xml:space="preserve">, following the guidance of </w:t>
      </w:r>
      <w:proofErr w:type="spellStart"/>
      <w:r w:rsidRPr="007947B2">
        <w:t>Kock</w:t>
      </w:r>
      <w:proofErr w:type="spellEnd"/>
      <w:r w:rsidRPr="007947B2">
        <w:t xml:space="preserve"> (2015). The Variance Inflation Factor (VIF) values for all indicators </w:t>
      </w:r>
      <w:r w:rsidRPr="007947B2">
        <w:lastRenderedPageBreak/>
        <w:t xml:space="preserve">were found to be well below the conservative cut-off of 3.0, further confirming the absence of </w:t>
      </w:r>
      <w:proofErr w:type="spellStart"/>
      <w:r w:rsidRPr="007947B2">
        <w:t>multicollinearity</w:t>
      </w:r>
      <w:proofErr w:type="spellEnd"/>
      <w:r w:rsidRPr="007947B2">
        <w:t xml:space="preserve"> and CMB in the model. In addition to CMB, survey-based studies are also susceptible to non-response bias, which arises when the characteristics of respondents differ systematically from non-respondents. To assess this, we conducted a paired samples t-test comparing early (first 1</w:t>
      </w:r>
      <w:r w:rsidR="00BA7464">
        <w:t>55</w:t>
      </w:r>
      <w:r w:rsidRPr="007947B2">
        <w:t>) and late (last 1</w:t>
      </w:r>
      <w:r w:rsidR="00BA7464">
        <w:t>56</w:t>
      </w:r>
      <w:r w:rsidRPr="007947B2">
        <w:t xml:space="preserve">) respondents across all key constructs. The results indicated no statistically significant differences between the two groups, suggesting that non-response bias is not a concern in this study. Furthermore, causality assessment is critical in empirical </w:t>
      </w:r>
      <w:proofErr w:type="spellStart"/>
      <w:r w:rsidRPr="007947B2">
        <w:t>modeling</w:t>
      </w:r>
      <w:proofErr w:type="spellEnd"/>
      <w:r w:rsidRPr="007947B2">
        <w:t xml:space="preserve"> to avoid erroneous interpretation of the directional relationships among constructs (Guide &amp; </w:t>
      </w:r>
      <w:proofErr w:type="spellStart"/>
      <w:r w:rsidRPr="007947B2">
        <w:t>Ketokivi</w:t>
      </w:r>
      <w:proofErr w:type="spellEnd"/>
      <w:r w:rsidRPr="007947B2">
        <w:t xml:space="preserve">, 2015). Following </w:t>
      </w:r>
      <w:proofErr w:type="spellStart"/>
      <w:r w:rsidRPr="007947B2">
        <w:t>Kock</w:t>
      </w:r>
      <w:proofErr w:type="spellEnd"/>
      <w:r w:rsidRPr="007947B2">
        <w:t xml:space="preserve"> (2019), we evaluated the Nonlinear Bivariate Causality Direction Ratio (NLBCDR), which exceeded the critical threshold of 0.90. This result indicates a strong likelihood of correct directional relationships and a minimal risk of reversed causality. To further support the robustness of our model, we assessed its predictive relevance and overall fit. The average R² value of 0.352 across endogenous constructs suggests moderate explanatory power. Additionally, the </w:t>
      </w:r>
      <w:proofErr w:type="spellStart"/>
      <w:r w:rsidRPr="007947B2">
        <w:t>Tenenhaus</w:t>
      </w:r>
      <w:proofErr w:type="spellEnd"/>
      <w:r w:rsidRPr="007947B2">
        <w:t xml:space="preserve"> Goodness of Fit (</w:t>
      </w:r>
      <w:proofErr w:type="spellStart"/>
      <w:r w:rsidRPr="007947B2">
        <w:t>GoF</w:t>
      </w:r>
      <w:proofErr w:type="spellEnd"/>
      <w:r w:rsidRPr="007947B2">
        <w:t xml:space="preserve">) </w:t>
      </w:r>
      <w:proofErr w:type="gramStart"/>
      <w:r w:rsidRPr="007947B2">
        <w:t>index</w:t>
      </w:r>
      <w:proofErr w:type="gramEnd"/>
      <w:r w:rsidRPr="007947B2">
        <w:t xml:space="preserve"> of 0.511 supports the adequacy of model fit and validates the structural integrity of the hypothesized framework.</w:t>
      </w:r>
    </w:p>
    <w:p w:rsidR="000662AF" w:rsidRPr="000662AF" w:rsidRDefault="000662AF" w:rsidP="00E26366">
      <w:pPr>
        <w:spacing w:line="480" w:lineRule="auto"/>
        <w:jc w:val="both"/>
        <w:rPr>
          <w:rFonts w:ascii="Times New Roman" w:eastAsia="Times New Roman" w:hAnsi="Times New Roman" w:cs="Times New Roman"/>
          <w:b/>
          <w:sz w:val="26"/>
          <w:szCs w:val="26"/>
        </w:rPr>
      </w:pPr>
      <w:r w:rsidRPr="000662AF">
        <w:rPr>
          <w:rFonts w:ascii="Times New Roman" w:eastAsia="Times New Roman" w:hAnsi="Times New Roman" w:cs="Times New Roman"/>
          <w:b/>
          <w:sz w:val="26"/>
          <w:szCs w:val="26"/>
        </w:rPr>
        <w:t>5. Data analysis and results</w:t>
      </w:r>
    </w:p>
    <w:p w:rsidR="000662AF" w:rsidRPr="000662AF" w:rsidRDefault="000662AF" w:rsidP="00E26366">
      <w:pPr>
        <w:spacing w:line="480" w:lineRule="auto"/>
        <w:jc w:val="both"/>
        <w:rPr>
          <w:rFonts w:ascii="Times New Roman" w:eastAsia="Times New Roman" w:hAnsi="Times New Roman" w:cs="Times New Roman"/>
          <w:b/>
          <w:sz w:val="26"/>
          <w:szCs w:val="26"/>
        </w:rPr>
      </w:pPr>
      <w:r w:rsidRPr="000662AF">
        <w:rPr>
          <w:rFonts w:ascii="Times New Roman" w:eastAsia="Times New Roman" w:hAnsi="Times New Roman" w:cs="Times New Roman"/>
          <w:b/>
          <w:sz w:val="26"/>
          <w:szCs w:val="26"/>
        </w:rPr>
        <w:t>5.1 Descriptive statistics</w:t>
      </w:r>
    </w:p>
    <w:p w:rsidR="000662AF" w:rsidRPr="000662AF" w:rsidRDefault="000662AF" w:rsidP="00E26366">
      <w:pPr>
        <w:pStyle w:val="NormalWeb"/>
        <w:spacing w:line="480" w:lineRule="auto"/>
        <w:jc w:val="both"/>
      </w:pPr>
      <w:r w:rsidRPr="000662AF">
        <w:t xml:space="preserve">The descriptive statistics of the study variables are summarized in Table 3. The mean values of the constructs provide insights into the extent of their implementation within organizational settings. Among the constructs, </w:t>
      </w:r>
      <w:r w:rsidR="00BA7464">
        <w:t>Environmental Dynamism</w:t>
      </w:r>
      <w:r w:rsidRPr="000662AF">
        <w:t xml:space="preserve"> (</w:t>
      </w:r>
      <w:r w:rsidR="003C1E97">
        <w:t>ENVD</w:t>
      </w:r>
      <w:r w:rsidRPr="000662AF">
        <w:t xml:space="preserve">) exhibits the highest level of adoption, with a mean score of 4.18 on a 5-point Likert scale, suggesting its widespread integration across firms. Overall, the mean values for all constructs range between 3.66 and 4.18, indicating that the constructs measured in this study are moderately to </w:t>
      </w:r>
      <w:r w:rsidRPr="000662AF">
        <w:lastRenderedPageBreak/>
        <w:t xml:space="preserve">highly </w:t>
      </w:r>
      <w:proofErr w:type="gramStart"/>
      <w:r w:rsidRPr="000662AF">
        <w:t>adopted</w:t>
      </w:r>
      <w:proofErr w:type="gramEnd"/>
      <w:r w:rsidRPr="000662AF">
        <w:t xml:space="preserve"> in organizational practice.</w:t>
      </w:r>
      <w:r>
        <w:t xml:space="preserve"> </w:t>
      </w:r>
      <w:r w:rsidRPr="000662AF">
        <w:t>The standard deviations reflect the degree of variability in implementation across organizations. Notably, Agility (</w:t>
      </w:r>
      <w:r w:rsidR="003C1E97">
        <w:t>AG</w:t>
      </w:r>
      <w:r w:rsidRPr="000662AF">
        <w:t xml:space="preserve">) displays the greatest variability, with a standard deviation of 0.91, implying substantial differences in how organizations approach and develop agility in digital contexts. These variations suggest that while certain capabilities like </w:t>
      </w:r>
      <w:r w:rsidR="00BA7464">
        <w:t>ambidexterity</w:t>
      </w:r>
      <w:r w:rsidRPr="000662AF">
        <w:t xml:space="preserve"> are consistently emphasized, others such as </w:t>
      </w:r>
      <w:r w:rsidR="003C1E97">
        <w:t>AG</w:t>
      </w:r>
      <w:r w:rsidRPr="000662AF">
        <w:t xml:space="preserve"> may be more context-specific and dependent on organizational maturity, size, or strategic orientation.</w:t>
      </w:r>
    </w:p>
    <w:p w:rsidR="001B2A37" w:rsidRPr="00A137E9" w:rsidRDefault="001B2A37" w:rsidP="00AD3428">
      <w:pPr>
        <w:spacing w:after="0" w:line="480" w:lineRule="auto"/>
        <w:jc w:val="center"/>
        <w:rPr>
          <w:rFonts w:ascii="Times New Roman" w:eastAsia="Times New Roman" w:hAnsi="Times New Roman" w:cs="Times New Roman"/>
          <w:b/>
          <w:sz w:val="26"/>
          <w:szCs w:val="26"/>
        </w:rPr>
      </w:pPr>
      <w:proofErr w:type="gramStart"/>
      <w:r w:rsidRPr="00A137E9">
        <w:rPr>
          <w:rFonts w:ascii="Times New Roman" w:eastAsia="Times New Roman" w:hAnsi="Times New Roman" w:cs="Times New Roman"/>
          <w:b/>
          <w:sz w:val="26"/>
          <w:szCs w:val="26"/>
        </w:rPr>
        <w:t>Table 3.</w:t>
      </w:r>
      <w:proofErr w:type="gramEnd"/>
      <w:r w:rsidRPr="00A137E9">
        <w:rPr>
          <w:rFonts w:ascii="Times New Roman" w:eastAsia="Times New Roman" w:hAnsi="Times New Roman" w:cs="Times New Roman"/>
          <w:b/>
          <w:sz w:val="26"/>
          <w:szCs w:val="26"/>
        </w:rPr>
        <w:t xml:space="preserve"> Assessment of discriminant validity</w:t>
      </w:r>
    </w:p>
    <w:p w:rsidR="000662AF" w:rsidRDefault="000662AF" w:rsidP="00E26366">
      <w:pPr>
        <w:pStyle w:val="Heading3"/>
        <w:spacing w:line="480" w:lineRule="auto"/>
      </w:pPr>
      <w:r>
        <w:t>5.2 Statistical Analysis</w:t>
      </w:r>
    </w:p>
    <w:p w:rsidR="000662AF" w:rsidRPr="000662AF" w:rsidRDefault="000662AF" w:rsidP="00E26366">
      <w:pPr>
        <w:pStyle w:val="NormalWeb"/>
        <w:spacing w:line="480" w:lineRule="auto"/>
        <w:jc w:val="both"/>
      </w:pPr>
      <w:r w:rsidRPr="000662AF">
        <w:t xml:space="preserve">This study examines the structural relationships among </w:t>
      </w:r>
      <w:r w:rsidR="00BA7464">
        <w:t>environmental dynamism</w:t>
      </w:r>
      <w:r w:rsidRPr="000662AF">
        <w:t xml:space="preserve"> (</w:t>
      </w:r>
      <w:r w:rsidR="003C1E97">
        <w:t>ENVD</w:t>
      </w:r>
      <w:r w:rsidRPr="000662AF">
        <w:t xml:space="preserve">), </w:t>
      </w:r>
      <w:r w:rsidR="00BA7464">
        <w:t>ambidexterity</w:t>
      </w:r>
      <w:r w:rsidRPr="000662AF">
        <w:t xml:space="preserve"> (</w:t>
      </w:r>
      <w:r w:rsidR="003C1E97">
        <w:t>AD</w:t>
      </w:r>
      <w:r w:rsidRPr="000662AF">
        <w:t xml:space="preserve">), </w:t>
      </w:r>
      <w:r w:rsidR="00BA7464">
        <w:t>a</w:t>
      </w:r>
      <w:r w:rsidRPr="000662AF">
        <w:t xml:space="preserve">gility (DA), </w:t>
      </w:r>
      <w:r w:rsidR="00BA7464">
        <w:t>r</w:t>
      </w:r>
      <w:r w:rsidRPr="000662AF">
        <w:t xml:space="preserve">esource </w:t>
      </w:r>
      <w:r w:rsidR="00BA7464">
        <w:t>o</w:t>
      </w:r>
      <w:r w:rsidRPr="000662AF">
        <w:t xml:space="preserve">rchestration </w:t>
      </w:r>
      <w:r w:rsidR="00BA7464">
        <w:t>c</w:t>
      </w:r>
      <w:r w:rsidRPr="000662AF">
        <w:t>apability (</w:t>
      </w:r>
      <w:r w:rsidR="00DC73C4">
        <w:t>ROC</w:t>
      </w:r>
      <w:r w:rsidRPr="000662AF">
        <w:t>), and Organizational Resilience (</w:t>
      </w:r>
      <w:r w:rsidR="003C1E97">
        <w:t>OR</w:t>
      </w:r>
      <w:r w:rsidRPr="000662AF">
        <w:t xml:space="preserve">). To </w:t>
      </w:r>
      <w:proofErr w:type="spellStart"/>
      <w:r w:rsidRPr="000662AF">
        <w:t>analyze</w:t>
      </w:r>
      <w:proofErr w:type="spellEnd"/>
      <w:r w:rsidRPr="000662AF">
        <w:t xml:space="preserve"> these relationships, we employed a two-stage analytical approach using IBM SPSS Version 23 for preliminary analysis and </w:t>
      </w:r>
      <w:proofErr w:type="spellStart"/>
      <w:r w:rsidRPr="000662AF">
        <w:t>SmartPLS</w:t>
      </w:r>
      <w:proofErr w:type="spellEnd"/>
      <w:r w:rsidRPr="000662AF">
        <w:t xml:space="preserve"> 4.0 for structural equation </w:t>
      </w:r>
      <w:proofErr w:type="spellStart"/>
      <w:r w:rsidRPr="000662AF">
        <w:t>modeling</w:t>
      </w:r>
      <w:proofErr w:type="spellEnd"/>
      <w:r w:rsidRPr="000662AF">
        <w:t xml:space="preserve"> based on the Partial Least Squares (PLS) method.</w:t>
      </w:r>
      <w:r>
        <w:t xml:space="preserve"> </w:t>
      </w:r>
      <w:r w:rsidRPr="000662AF">
        <w:t xml:space="preserve">The PLS-SEM technique was selected due to its robustness in handling complex models with latent constructs and its suitability for exploratory and predictive research </w:t>
      </w:r>
      <w:r w:rsidR="003C1F43">
        <w:fldChar w:fldCharType="begin"/>
      </w:r>
      <w:r w:rsidR="003C1F43">
        <w:instrText xml:space="preserve"> ADDIN ZOTERO_ITEM CSL_CITATION {"citationID":"eG1T3F6S","properties":{"formattedCitation":"(Sarstedt et al., 2020)","plainCitation":"(Sarstedt et al., 2020)","noteIndex":0},"citationItems":[{"id":8450,"uris":["http://zotero.org/users/12485464/items/X6BYNLBZ"],"itemData":{"id":8450,"type":"article-journal","abstract":"Mediation and conditional process analyses have become popular approaches for examining the mechanisms by which effects operate and the factors that influence them. To estimate mediation models, researchers often augment their structural equation modeling (SEM) analyses with additional regression analyses using the PROCESS macro. This duality is surprising considering that research has long acknowledged the limitations of regression analyses when estimating models with latent variables. In this article, we argue that much of the confusion regarding SEM’s efficacy for mediation analyses results from a singular focus on factor-based methods, and there is no need for a tandem use of SEM and PROCESS. Specifically, we highlight that composite-based SEM methods overcome the limitations of both regression and factor-based SEM analyses when estimating even highly complex mediation models. We further conclude that composite-based SEM methods such as partial least squares (PLS-SEM) are the preferred and superior approach when estimating mediation and conditional process models, and that the PROCESS approach is not needed when mediation is examined with PLS-SEM.","container-title":"International Journal of Market Research","DOI":"10.1177/1470785320915686","ISSN":"1470-7853, 2515-2173","issue":"3","journalAbbreviation":"International Journal of Market Research","language":"en","page":"288-299","source":"DOI.org (Crossref)","title":"Beyond a tandem analysis of SEM and PROCESS: Use of PLS-SEM for mediation analyses!","title-short":"Beyond a tandem analysis of SEM and PROCESS","volume":"62","author":[{"family":"Sarstedt","given":"Marko"},{"family":"Hair","given":"Joseph F"},{"family":"Nitzl","given":"Christian"},{"family":"Ringle","given":"Christian M"},{"family":"Howard","given":"Matt C."}],"issued":{"date-parts":[["2020",5]]}}}],"schema":"https://github.com/citation-style-language/schema/raw/master/csl-citation.json"} </w:instrText>
      </w:r>
      <w:r w:rsidR="003C1F43">
        <w:fldChar w:fldCharType="separate"/>
      </w:r>
      <w:r w:rsidR="003C1F43" w:rsidRPr="003C1F43">
        <w:t>(Sarstedt et al., 2020)</w:t>
      </w:r>
      <w:r w:rsidR="003C1F43">
        <w:fldChar w:fldCharType="end"/>
      </w:r>
      <w:r w:rsidRPr="000662AF">
        <w:t xml:space="preserve">. PLS is particularly advantageous when working with smaller sample sizes, which aligns with the context of this study where data was collected from a specific managerial population, thereby limiting the sample size. As such, PLS’s ability to generate stable parameter estimates with relatively small samples </w:t>
      </w:r>
      <w:r w:rsidR="003C1F43">
        <w:fldChar w:fldCharType="begin"/>
      </w:r>
      <w:r w:rsidR="003C1F43">
        <w:instrText xml:space="preserve"> ADDIN ZOTERO_ITEM CSL_CITATION {"citationID":"XoCmHTsI","properties":{"formattedCitation":"(Hair et al., 2019)","plainCitation":"(Hair et al., 2019)","noteIndex":0},"citationItems":[{"id":8277,"uris":["http://zotero.org/users/12485464/items/C6FQEADE"],"itemData":{"id":8277,"type":"article-journal","abstract":"Purpose – The purpose of this paper is to provide a comprehensive, yet concise, overview of the considerations and metrics required for partial least squares structural equation modeling (PLS-SEM) analysis and result reporting. Preliminary considerations are summarized ﬁrst, including reasons for choosing PLS-SEM, recommended sample size in selected contexts, distributional assumptions, use of secondary data, statistical power and the need for goodness-of-ﬁt testing. Next, the metrics as well as the rules of thumb that should be applied to assess the PLS-SEM results are covered. Besides presenting established PLS-SEM evaluation criteria, the overview includes the following new guidelines: PLSpredict (i.e., a novel approach for assessing a model’s out-of-sample prediction), metrics for model comparisons, and several complementary methods for checking the results’ robustness.","container-title":"European Business Review","DOI":"10.1108/EBR-11-2018-0203","ISSN":"0955-534X","issue":"1","journalAbbreviation":"EBR","language":"en","license":"https://www.emerald.com/insight/site-policies","page":"2-24","source":"DOI.org (Crossref)","title":"When to use and how to report the results of PLS-SEM","volume":"31","author":[{"family":"Hair","given":"Joseph F."},{"family":"Risher","given":"Jeffrey J."},{"family":"Sarstedt","given":"Marko"},{"family":"Ringle","given":"Christian M."}],"issued":{"date-parts":[["2019",1,14]]}}}],"schema":"https://github.com/citation-style-language/schema/raw/master/csl-citation.json"} </w:instrText>
      </w:r>
      <w:r w:rsidR="003C1F43">
        <w:fldChar w:fldCharType="separate"/>
      </w:r>
      <w:r w:rsidR="003C1F43" w:rsidRPr="003C1F43">
        <w:t>(Hair et al., 2019)</w:t>
      </w:r>
      <w:r w:rsidR="003C1F43">
        <w:fldChar w:fldCharType="end"/>
      </w:r>
      <w:r w:rsidRPr="000662AF">
        <w:t xml:space="preserve"> made it an appropriate analytical choice.</w:t>
      </w:r>
    </w:p>
    <w:p w:rsidR="000662AF" w:rsidRPr="000662AF" w:rsidRDefault="000662AF" w:rsidP="00E26366">
      <w:pPr>
        <w:pStyle w:val="NormalWeb"/>
        <w:spacing w:line="480" w:lineRule="auto"/>
        <w:jc w:val="both"/>
      </w:pPr>
      <w:r w:rsidRPr="000662AF">
        <w:t xml:space="preserve">Moreover, the predictive and variance-based nature of PLS is particularly well-suited for this study's objective of exploring the interplay between digital capabilities and resilience in </w:t>
      </w:r>
      <w:r w:rsidRPr="000662AF">
        <w:lastRenderedPageBreak/>
        <w:t xml:space="preserve">organizations. Unlike covariance-based SEM, PLS emphasizes maximizing the explained variance (R²) of endogenous constructs, offering more flexibility in </w:t>
      </w:r>
      <w:proofErr w:type="spellStart"/>
      <w:r w:rsidRPr="000662AF">
        <w:t>modeling</w:t>
      </w:r>
      <w:proofErr w:type="spellEnd"/>
      <w:r w:rsidRPr="000662AF">
        <w:t xml:space="preserve"> complex theoretical frameworks and enabling richer managerial implications </w:t>
      </w:r>
      <w:r w:rsidR="003C1F43">
        <w:fldChar w:fldCharType="begin"/>
      </w:r>
      <w:r w:rsidR="003C1F43">
        <w:instrText xml:space="preserve"> ADDIN ZOTERO_ITEM CSL_CITATION {"citationID":"izavuy9A","properties":{"formattedCitation":"(Hair et al., 2019)","plainCitation":"(Hair et al., 2019)","noteIndex":0},"citationItems":[{"id":8277,"uris":["http://zotero.org/users/12485464/items/C6FQEADE"],"itemData":{"id":8277,"type":"article-journal","abstract":"Purpose – The purpose of this paper is to provide a comprehensive, yet concise, overview of the considerations and metrics required for partial least squares structural equation modeling (PLS-SEM) analysis and result reporting. Preliminary considerations are summarized ﬁrst, including reasons for choosing PLS-SEM, recommended sample size in selected contexts, distributional assumptions, use of secondary data, statistical power and the need for goodness-of-ﬁt testing. Next, the metrics as well as the rules of thumb that should be applied to assess the PLS-SEM results are covered. Besides presenting established PLS-SEM evaluation criteria, the overview includes the following new guidelines: PLSpredict (i.e., a novel approach for assessing a model’s out-of-sample prediction), metrics for model comparisons, and several complementary methods for checking the results’ robustness.","container-title":"European Business Review","DOI":"10.1108/EBR-11-2018-0203","ISSN":"0955-534X","issue":"1","journalAbbreviation":"EBR","language":"en","license":"https://www.emerald.com/insight/site-policies","page":"2-24","source":"DOI.org (Crossref)","title":"When to use and how to report the results of PLS-SEM","volume":"31","author":[{"family":"Hair","given":"Joseph F."},{"family":"Risher","given":"Jeffrey J."},{"family":"Sarstedt","given":"Marko"},{"family":"Ringle","given":"Christian M."}],"issued":{"date-parts":[["2019",1,14]]}}}],"schema":"https://github.com/citation-style-language/schema/raw/master/csl-citation.json"} </w:instrText>
      </w:r>
      <w:r w:rsidR="003C1F43">
        <w:fldChar w:fldCharType="separate"/>
      </w:r>
      <w:r w:rsidR="003C1F43" w:rsidRPr="003C1F43">
        <w:t>(Hair et al., 2019)</w:t>
      </w:r>
      <w:r w:rsidR="003C1F43">
        <w:fldChar w:fldCharType="end"/>
      </w:r>
      <w:r w:rsidR="003C1F43">
        <w:t xml:space="preserve">. </w:t>
      </w:r>
      <w:r w:rsidRPr="000662AF">
        <w:t>The statistical analysis was conducted in two sequential stages. In the first stage, we evaluated the measurement model to assess the reliability and validity of the constructs, including tests for internal consistency, convergent validity, and discriminant validity. In the second stage, we examined the structural model to test the hypothesized relationships among the study variables, focusing on path coefficients, significance levels, and the explanatory power of the model.</w:t>
      </w:r>
    </w:p>
    <w:p w:rsidR="000662AF" w:rsidRDefault="000662AF" w:rsidP="00E26366">
      <w:pPr>
        <w:pStyle w:val="Heading3"/>
        <w:spacing w:line="480" w:lineRule="auto"/>
      </w:pPr>
      <w:r>
        <w:t>5.2.1 Measurement Model</w:t>
      </w:r>
    </w:p>
    <w:p w:rsidR="000662AF" w:rsidRDefault="000662AF" w:rsidP="00E26366">
      <w:pPr>
        <w:pStyle w:val="NormalWeb"/>
        <w:spacing w:line="480" w:lineRule="auto"/>
        <w:jc w:val="both"/>
      </w:pPr>
      <w:r w:rsidRPr="000662AF">
        <w:t xml:space="preserve">The reliability and validity of the measurement model were assessed through a series of established criteria to ensure the robustness of the constructs used in this study. Reliability was evaluated using both </w:t>
      </w:r>
      <w:proofErr w:type="spellStart"/>
      <w:r w:rsidRPr="000662AF">
        <w:t>Cronbach’s</w:t>
      </w:r>
      <w:proofErr w:type="spellEnd"/>
      <w:r w:rsidRPr="000662AF">
        <w:t xml:space="preserve"> alpha (CA) and composite reliability (CR) values. As shown in Table 3 and Table 4, all constructs demonstrated acceptable internal consistency, with both CA and CR values exceeding the recommended threshold of 0.70, thereby confirming the reliability of the scales </w:t>
      </w:r>
      <w:r w:rsidR="003C1F43">
        <w:fldChar w:fldCharType="begin"/>
      </w:r>
      <w:r w:rsidR="003C1F43">
        <w:instrText xml:space="preserve"> ADDIN ZOTERO_ITEM CSL_CITATION {"citationID":"P1qHFvYX","properties":{"formattedCitation":"(Hair et al., 2019)","plainCitation":"(Hair et al., 2019)","noteIndex":0},"citationItems":[{"id":8277,"uris":["http://zotero.org/users/12485464/items/C6FQEADE"],"itemData":{"id":8277,"type":"article-journal","abstract":"Purpose – The purpose of this paper is to provide a comprehensive, yet concise, overview of the considerations and metrics required for partial least squares structural equation modeling (PLS-SEM) analysis and result reporting. Preliminary considerations are summarized ﬁrst, including reasons for choosing PLS-SEM, recommended sample size in selected contexts, distributional assumptions, use of secondary data, statistical power and the need for goodness-of-ﬁt testing. Next, the metrics as well as the rules of thumb that should be applied to assess the PLS-SEM results are covered. Besides presenting established PLS-SEM evaluation criteria, the overview includes the following new guidelines: PLSpredict (i.e., a novel approach for assessing a model’s out-of-sample prediction), metrics for model comparisons, and several complementary methods for checking the results’ robustness.","container-title":"European Business Review","DOI":"10.1108/EBR-11-2018-0203","ISSN":"0955-534X","issue":"1","journalAbbreviation":"EBR","language":"en","license":"https://www.emerald.com/insight/site-policies","page":"2-24","source":"DOI.org (Crossref)","title":"When to use and how to report the results of PLS-SEM","volume":"31","author":[{"family":"Hair","given":"Joseph F."},{"family":"Risher","given":"Jeffrey J."},{"family":"Sarstedt","given":"Marko"},{"family":"Ringle","given":"Christian M."}],"issued":{"date-parts":[["2019",1,14]]}}}],"schema":"https://github.com/citation-style-language/schema/raw/master/csl-citation.json"} </w:instrText>
      </w:r>
      <w:r w:rsidR="003C1F43">
        <w:fldChar w:fldCharType="separate"/>
      </w:r>
      <w:r w:rsidR="003C1F43" w:rsidRPr="003C1F43">
        <w:t>(Hair et al., 2019)</w:t>
      </w:r>
      <w:r w:rsidR="003C1F43">
        <w:fldChar w:fldCharType="end"/>
      </w:r>
      <w:r w:rsidRPr="000662AF">
        <w:t>.</w:t>
      </w:r>
      <w:r>
        <w:t xml:space="preserve"> </w:t>
      </w:r>
      <w:r w:rsidRPr="000662AF">
        <w:t>Convergent validity was assessed using the Average Variance Extracted (AVE). An AVE value above 0.50 indicates that the construct explains more than half of the variance in its observed indicators. As reported in Table 4, all constructs met this criterion, establishing satisfactory convergent validity (</w:t>
      </w:r>
      <w:proofErr w:type="spellStart"/>
      <w:r w:rsidRPr="000662AF">
        <w:t>Fornell</w:t>
      </w:r>
      <w:proofErr w:type="spellEnd"/>
      <w:r w:rsidRPr="000662AF">
        <w:t xml:space="preserve"> &amp; </w:t>
      </w:r>
      <w:proofErr w:type="spellStart"/>
      <w:r w:rsidRPr="000662AF">
        <w:t>Larcker</w:t>
      </w:r>
      <w:proofErr w:type="spellEnd"/>
      <w:r w:rsidRPr="000662AF">
        <w:t>, 1981).</w:t>
      </w:r>
      <w:r>
        <w:t xml:space="preserve"> </w:t>
      </w:r>
      <w:r w:rsidRPr="000662AF">
        <w:t xml:space="preserve">Discriminant validity was examined using two complementary methods: </w:t>
      </w:r>
      <w:proofErr w:type="spellStart"/>
      <w:r w:rsidRPr="000662AF">
        <w:t>Fornell</w:t>
      </w:r>
      <w:proofErr w:type="spellEnd"/>
      <w:r w:rsidRPr="000662AF">
        <w:t xml:space="preserve"> and </w:t>
      </w:r>
      <w:proofErr w:type="spellStart"/>
      <w:r w:rsidRPr="000662AF">
        <w:t>Larcker’s</w:t>
      </w:r>
      <w:proofErr w:type="spellEnd"/>
      <w:r w:rsidRPr="000662AF">
        <w:t xml:space="preserve"> criterion and the </w:t>
      </w:r>
      <w:proofErr w:type="spellStart"/>
      <w:r w:rsidRPr="000662AF">
        <w:t>Heterotrait</w:t>
      </w:r>
      <w:proofErr w:type="spellEnd"/>
      <w:r w:rsidRPr="000662AF">
        <w:t>–</w:t>
      </w:r>
      <w:proofErr w:type="spellStart"/>
      <w:r w:rsidRPr="000662AF">
        <w:t>Monotrait</w:t>
      </w:r>
      <w:proofErr w:type="spellEnd"/>
      <w:r w:rsidRPr="000662AF">
        <w:t xml:space="preserve"> (HTMT) ratio. Table 3 presents the </w:t>
      </w:r>
      <w:proofErr w:type="spellStart"/>
      <w:r w:rsidRPr="000662AF">
        <w:t>Fornell</w:t>
      </w:r>
      <w:proofErr w:type="spellEnd"/>
      <w:r w:rsidRPr="000662AF">
        <w:t>–</w:t>
      </w:r>
      <w:proofErr w:type="spellStart"/>
      <w:r w:rsidRPr="000662AF">
        <w:t>Larcker</w:t>
      </w:r>
      <w:proofErr w:type="spellEnd"/>
      <w:r w:rsidRPr="000662AF">
        <w:t xml:space="preserve"> matrix, where the square root of the AVE for each construct (diagonal elements) exceeds the corresponding inter-construct correlations in the same row and column. This confirms that each construct is distinct from the others, thereby satisfying the </w:t>
      </w:r>
      <w:proofErr w:type="spellStart"/>
      <w:r w:rsidRPr="000662AF">
        <w:t>Fornell</w:t>
      </w:r>
      <w:proofErr w:type="spellEnd"/>
      <w:r w:rsidRPr="000662AF">
        <w:t>–</w:t>
      </w:r>
      <w:proofErr w:type="spellStart"/>
      <w:r w:rsidRPr="000662AF">
        <w:lastRenderedPageBreak/>
        <w:t>Larcker</w:t>
      </w:r>
      <w:proofErr w:type="spellEnd"/>
      <w:r w:rsidRPr="000662AF">
        <w:t xml:space="preserve"> criterion. Additionally, Table 4 reports HTMT values for all construct pairs, which were found to be below the conservative threshold of 0.80, further supporting discriminant validity (</w:t>
      </w:r>
      <w:proofErr w:type="spellStart"/>
      <w:r w:rsidRPr="000662AF">
        <w:t>Henseler</w:t>
      </w:r>
      <w:proofErr w:type="spellEnd"/>
      <w:r w:rsidRPr="000662AF">
        <w:t xml:space="preserve"> et al., 2015).</w:t>
      </w:r>
      <w:r>
        <w:t xml:space="preserve"> </w:t>
      </w:r>
      <w:r w:rsidRPr="000662AF">
        <w:t xml:space="preserve">Regarding indicator reliability, outer loadings were examined, and items with loadings below 0.60 were excluded from the final model as per the recommendations of </w:t>
      </w:r>
      <w:r w:rsidR="00000CBB">
        <w:fldChar w:fldCharType="begin"/>
      </w:r>
      <w:r w:rsidR="00000CBB">
        <w:instrText xml:space="preserve"> ADDIN ZOTERO_ITEM CSL_CITATION {"citationID":"UxN7pH2L","properties":{"formattedCitation":"(Hair et al., 2019; Sarstedt et al., 2020)","plainCitation":"(Hair et al., 2019; Sarstedt et al., 2020)","noteIndex":0},"citationItems":[{"id":8277,"uris":["http://zotero.org/users/12485464/items/C6FQEADE"],"itemData":{"id":8277,"type":"article-journal","abstract":"Purpose – The purpose of this paper is to provide a comprehensive, yet concise, overview of the considerations and metrics required for partial least squares structural equation modeling (PLS-SEM) analysis and result reporting. Preliminary considerations are summarized ﬁrst, including reasons for choosing PLS-SEM, recommended sample size in selected contexts, distributional assumptions, use of secondary data, statistical power and the need for goodness-of-ﬁt testing. Next, the metrics as well as the rules of thumb that should be applied to assess the PLS-SEM results are covered. Besides presenting established PLS-SEM evaluation criteria, the overview includes the following new guidelines: PLSpredict (i.e., a novel approach for assessing a model’s out-of-sample prediction), metrics for model comparisons, and several complementary methods for checking the results’ robustness.","container-title":"European Business Review","DOI":"10.1108/EBR-11-2018-0203","ISSN":"0955-534X","issue":"1","journalAbbreviation":"EBR","language":"en","license":"https://www.emerald.com/insight/site-policies","page":"2-24","source":"DOI.org (Crossref)","title":"When to use and how to report the results of PLS-SEM","volume":"31","author":[{"family":"Hair","given":"Joseph F."},{"family":"Risher","given":"Jeffrey J."},{"family":"Sarstedt","given":"Marko"},{"family":"Ringle","given":"Christian M."}],"issued":{"date-parts":[["2019",1,14]]}}},{"id":8450,"uris":["http://zotero.org/users/12485464/items/X6BYNLBZ"],"itemData":{"id":8450,"type":"article-journal","abstract":"Mediation and conditional process analyses have become popular approaches for examining the mechanisms by which effects operate and the factors that influence them. To estimate mediation models, researchers often augment their structural equation modeling (SEM) analyses with additional regression analyses using the PROCESS macro. This duality is surprising considering that research has long acknowledged the limitations of regression analyses when estimating models with latent variables. In this article, we argue that much of the confusion regarding SEM’s efficacy for mediation analyses results from a singular focus on factor-based methods, and there is no need for a tandem use of SEM and PROCESS. Specifically, we highlight that composite-based SEM methods overcome the limitations of both regression and factor-based SEM analyses when estimating even highly complex mediation models. We further conclude that composite-based SEM methods such as partial least squares (PLS-SEM) are the preferred and superior approach when estimating mediation and conditional process models, and that the PROCESS approach is not needed when mediation is examined with PLS-SEM.","container-title":"International Journal of Market Research","DOI":"10.1177/1470785320915686","ISSN":"1470-7853, 2515-2173","issue":"3","journalAbbreviation":"International Journal of Market Research","language":"en","page":"288-299","source":"DOI.org (Crossref)","title":"Beyond a tandem analysis of SEM and PROCESS: Use of PLS-SEM for mediation analyses!","title-short":"Beyond a tandem analysis of SEM and PROCESS","volume":"62","author":[{"family":"Sarstedt","given":"Marko"},{"family":"Hair","given":"Joseph F"},{"family":"Nitzl","given":"Christian"},{"family":"Ringle","given":"Christian M"},{"family":"Howard","given":"Matt C."}],"issued":{"date-parts":[["2020",5]]}}}],"schema":"https://github.com/citation-style-language/schema/raw/master/csl-citation.json"} </w:instrText>
      </w:r>
      <w:r w:rsidR="00000CBB">
        <w:fldChar w:fldCharType="separate"/>
      </w:r>
      <w:r w:rsidR="00000CBB" w:rsidRPr="00000CBB">
        <w:t>(Hair et al., 2019; Sarstedt et al., 2020)</w:t>
      </w:r>
      <w:r w:rsidR="00000CBB">
        <w:fldChar w:fldCharType="end"/>
      </w:r>
      <w:r w:rsidRPr="000662AF">
        <w:t>. The retention of items with strong loadings further strengthened the construct validity and ensured that only reliable indicators contributed to the latent variable estimation.</w:t>
      </w:r>
      <w:r>
        <w:t xml:space="preserve"> </w:t>
      </w:r>
      <w:r w:rsidRPr="000662AF">
        <w:t>Taken together, these results establish that the measurement model meets the necessary criteria for internal consistency, convergent validity, and discriminant validity, thereby supporting the adequacy of the measurement properties for subsequent structural analysis.</w:t>
      </w:r>
    </w:p>
    <w:p w:rsidR="001B2A37" w:rsidRPr="001B2A37" w:rsidRDefault="001B2A37" w:rsidP="00BA7464">
      <w:pPr>
        <w:spacing w:after="0" w:line="480" w:lineRule="auto"/>
        <w:ind w:left="360"/>
        <w:jc w:val="center"/>
        <w:rPr>
          <w:rFonts w:ascii="Times New Roman" w:eastAsia="Times New Roman" w:hAnsi="Times New Roman" w:cs="Times New Roman"/>
          <w:b/>
          <w:sz w:val="26"/>
          <w:szCs w:val="26"/>
        </w:rPr>
      </w:pPr>
      <w:proofErr w:type="gramStart"/>
      <w:r w:rsidRPr="001B2A37">
        <w:rPr>
          <w:rFonts w:ascii="Times New Roman" w:eastAsia="Times New Roman" w:hAnsi="Times New Roman" w:cs="Times New Roman"/>
          <w:b/>
          <w:sz w:val="26"/>
          <w:szCs w:val="26"/>
        </w:rPr>
        <w:t>Table 4.</w:t>
      </w:r>
      <w:proofErr w:type="gramEnd"/>
      <w:r w:rsidRPr="001B2A37">
        <w:rPr>
          <w:rFonts w:ascii="Times New Roman" w:eastAsia="Times New Roman" w:hAnsi="Times New Roman" w:cs="Times New Roman"/>
          <w:b/>
          <w:sz w:val="26"/>
          <w:szCs w:val="26"/>
        </w:rPr>
        <w:t xml:space="preserve"> Exploratory and Confirmatory Factor Analysis</w:t>
      </w:r>
    </w:p>
    <w:p w:rsidR="008878DD" w:rsidRDefault="008878DD" w:rsidP="00E26366">
      <w:pPr>
        <w:pStyle w:val="Heading3"/>
        <w:spacing w:line="480" w:lineRule="auto"/>
      </w:pPr>
      <w:r>
        <w:t>5.2.2 Structural Model Assessment</w:t>
      </w:r>
    </w:p>
    <w:p w:rsidR="00D3615D" w:rsidRPr="008878DD" w:rsidRDefault="00D3615D" w:rsidP="00E26366">
      <w:pPr>
        <w:pStyle w:val="NormalWeb"/>
        <w:spacing w:line="480" w:lineRule="auto"/>
        <w:jc w:val="center"/>
        <w:rPr>
          <w:b/>
          <w:bCs/>
        </w:rPr>
      </w:pPr>
      <w:r>
        <w:rPr>
          <w:b/>
          <w:bCs/>
        </w:rPr>
        <w:t xml:space="preserve">Figure 2: </w:t>
      </w:r>
      <w:r w:rsidRPr="008878DD">
        <w:rPr>
          <w:b/>
          <w:bCs/>
        </w:rPr>
        <w:t>Analysis results of research model</w:t>
      </w:r>
    </w:p>
    <w:p w:rsidR="008878DD" w:rsidRDefault="008878DD" w:rsidP="00E26366">
      <w:pPr>
        <w:pStyle w:val="NormalWeb"/>
        <w:spacing w:line="480" w:lineRule="auto"/>
        <w:jc w:val="both"/>
      </w:pPr>
      <w:r w:rsidRPr="008878DD">
        <w:t>The coefficient of determination (R²) serves as a critical indicator for assessing the explanator</w:t>
      </w:r>
      <w:r>
        <w:t xml:space="preserve">y power of </w:t>
      </w:r>
      <w:r w:rsidR="00BA7464">
        <w:t>ambidexterity (</w:t>
      </w:r>
      <w:r w:rsidR="003C1E97">
        <w:t>AD</w:t>
      </w:r>
      <w:r w:rsidR="00BA7464">
        <w:t>)</w:t>
      </w:r>
      <w:r>
        <w:t xml:space="preserve"> </w:t>
      </w:r>
      <w:r w:rsidRPr="008878DD">
        <w:t xml:space="preserve">in predicting </w:t>
      </w:r>
      <w:r w:rsidR="00BA7464">
        <w:t>other capabilities</w:t>
      </w:r>
      <w:r w:rsidRPr="008878DD">
        <w:t xml:space="preserve"> such as </w:t>
      </w:r>
      <w:r w:rsidR="003C1E97">
        <w:t>AG</w:t>
      </w:r>
      <w:r w:rsidRPr="008878DD">
        <w:t xml:space="preserve">, </w:t>
      </w:r>
      <w:r w:rsidR="00DC73C4">
        <w:t>ROC</w:t>
      </w:r>
      <w:r w:rsidRPr="008878DD">
        <w:t xml:space="preserve">, and </w:t>
      </w:r>
      <w:r w:rsidR="003C1E97">
        <w:t>OR</w:t>
      </w:r>
      <w:r w:rsidRPr="008878DD">
        <w:t xml:space="preserve">. According to </w:t>
      </w:r>
      <w:proofErr w:type="spellStart"/>
      <w:r w:rsidRPr="008878DD">
        <w:t>Henseler</w:t>
      </w:r>
      <w:proofErr w:type="spellEnd"/>
      <w:r w:rsidRPr="008878DD">
        <w:t xml:space="preserve"> et al. (2016), R² values are interpreted as follows: values above 0.75 denote substantial predictive power, values around 0.50 indicate moderate predictive power, and values near 0.25 suggest weak predictive power. As illustrated in Table </w:t>
      </w:r>
      <w:r>
        <w:t>5</w:t>
      </w:r>
      <w:r w:rsidRPr="008878DD">
        <w:t xml:space="preserve">, the R² values for </w:t>
      </w:r>
      <w:r w:rsidR="003C1E97">
        <w:t>OR</w:t>
      </w:r>
      <w:r w:rsidRPr="008878DD">
        <w:t xml:space="preserve"> (0.</w:t>
      </w:r>
      <w:r w:rsidR="00D3615D">
        <w:t>485</w:t>
      </w:r>
      <w:r w:rsidRPr="008878DD">
        <w:t xml:space="preserve">) and </w:t>
      </w:r>
      <w:r w:rsidR="003C1E97">
        <w:t>AG</w:t>
      </w:r>
      <w:r w:rsidRPr="008878DD">
        <w:t xml:space="preserve"> (0.4</w:t>
      </w:r>
      <w:r w:rsidR="00D3615D">
        <w:t>04</w:t>
      </w:r>
      <w:r w:rsidRPr="008878DD">
        <w:t xml:space="preserve">) indicate moderate predictive relevance, whereas the value for </w:t>
      </w:r>
      <w:r w:rsidR="00DC73C4">
        <w:t>ROC</w:t>
      </w:r>
      <w:r w:rsidRPr="008878DD">
        <w:t xml:space="preserve"> (0.3</w:t>
      </w:r>
      <w:r w:rsidR="00D3615D">
        <w:t>49</w:t>
      </w:r>
      <w:r w:rsidRPr="008878DD">
        <w:t>) reflects a relatively weak yet acceptable level of model fit in the context of consumer-oriented digital strategies.</w:t>
      </w:r>
      <w:r>
        <w:t xml:space="preserve"> </w:t>
      </w:r>
      <w:r w:rsidRPr="008878DD">
        <w:t xml:space="preserve">To further evaluate the individual impact of predictor constructs, </w:t>
      </w:r>
      <w:r w:rsidRPr="00D3615D">
        <w:t>Cohen's f²</w:t>
      </w:r>
      <w:r w:rsidRPr="008878DD">
        <w:t xml:space="preserve"> is used to assess effect sizes, with benchmarks of 0.35 (large), 0.15 (medium), and 0.02 (small) as suggested by Cohen (1988). Results </w:t>
      </w:r>
      <w:r w:rsidRPr="008878DD">
        <w:lastRenderedPageBreak/>
        <w:t xml:space="preserve">presented in Table </w:t>
      </w:r>
      <w:r w:rsidR="00D3615D">
        <w:t>6</w:t>
      </w:r>
      <w:r w:rsidRPr="008878DD">
        <w:t xml:space="preserve"> reveal that </w:t>
      </w:r>
      <w:r w:rsidR="003C1E97">
        <w:t>AG</w:t>
      </w:r>
      <w:r w:rsidRPr="008878DD">
        <w:t xml:space="preserve"> significantly influences </w:t>
      </w:r>
      <w:r w:rsidR="00DC73C4">
        <w:t>ROC</w:t>
      </w:r>
      <w:r w:rsidRPr="008878DD">
        <w:t xml:space="preserve"> (f² &gt; 0.35), and </w:t>
      </w:r>
      <w:r w:rsidR="00DC73C4">
        <w:t>ROC</w:t>
      </w:r>
      <w:r w:rsidRPr="008878DD">
        <w:t xml:space="preserve"> exerts a strong effect on </w:t>
      </w:r>
      <w:r w:rsidR="003C1E97">
        <w:t>OR</w:t>
      </w:r>
      <w:r w:rsidR="005E3B69">
        <w:t xml:space="preserve">. Conversely, other paths - </w:t>
      </w:r>
      <w:r w:rsidRPr="008878DD">
        <w:t xml:space="preserve">such as </w:t>
      </w:r>
      <w:r w:rsidR="003C1E97">
        <w:t>AG</w:t>
      </w:r>
      <w:r w:rsidRPr="008878DD">
        <w:t xml:space="preserve"> to </w:t>
      </w:r>
      <w:r w:rsidR="003C1E97">
        <w:t>OR</w:t>
      </w:r>
      <w:r w:rsidRPr="008878DD">
        <w:t xml:space="preserve"> and </w:t>
      </w:r>
      <w:r w:rsidR="003C1E97">
        <w:t>ENVD</w:t>
      </w:r>
      <w:r w:rsidR="00D3615D">
        <w:t>*</w:t>
      </w:r>
      <w:r w:rsidR="003C1E97">
        <w:t>AD</w:t>
      </w:r>
      <w:r w:rsidRPr="008878DD">
        <w:t xml:space="preserve"> to </w:t>
      </w:r>
      <w:r w:rsidR="003C1E97">
        <w:t>AG</w:t>
      </w:r>
      <w:r w:rsidR="005E3B69">
        <w:t xml:space="preserve"> - </w:t>
      </w:r>
      <w:r w:rsidRPr="008878DD">
        <w:t xml:space="preserve">fall within the small effect size range, albeit approaching the threshold for medium effects, highlighting their emerging but still meaningful roles in consumer-centric organizational strategy </w:t>
      </w:r>
      <w:r w:rsidR="00000CBB">
        <w:fldChar w:fldCharType="begin"/>
      </w:r>
      <w:r w:rsidR="00000CBB">
        <w:instrText xml:space="preserve"> ADDIN ZOTERO_ITEM CSL_CITATION {"citationID":"U2npWVy1","properties":{"formattedCitation":"(Hair et al., 2019)","plainCitation":"(Hair et al., 2019)","noteIndex":0},"citationItems":[{"id":8277,"uris":["http://zotero.org/users/12485464/items/C6FQEADE"],"itemData":{"id":8277,"type":"article-journal","abstract":"Purpose – The purpose of this paper is to provide a comprehensive, yet concise, overview of the considerations and metrics required for partial least squares structural equation modeling (PLS-SEM) analysis and result reporting. Preliminary considerations are summarized ﬁrst, including reasons for choosing PLS-SEM, recommended sample size in selected contexts, distributional assumptions, use of secondary data, statistical power and the need for goodness-of-ﬁt testing. Next, the metrics as well as the rules of thumb that should be applied to assess the PLS-SEM results are covered. Besides presenting established PLS-SEM evaluation criteria, the overview includes the following new guidelines: PLSpredict (i.e., a novel approach for assessing a model’s out-of-sample prediction), metrics for model comparisons, and several complementary methods for checking the results’ robustness.","container-title":"European Business Review","DOI":"10.1108/EBR-11-2018-0203","ISSN":"0955-534X","issue":"1","journalAbbreviation":"EBR","language":"en","license":"https://www.emerald.com/insight/site-policies","page":"2-24","source":"DOI.org (Crossref)","title":"When to use and how to report the results of PLS-SEM","volume":"31","author":[{"family":"Hair","given":"Joseph F."},{"family":"Risher","given":"Jeffrey J."},{"family":"Sarstedt","given":"Marko"},{"family":"Ringle","given":"Christian M."}],"issued":{"date-parts":[["2019",1,14]]}}}],"schema":"https://github.com/citation-style-language/schema/raw/master/csl-citation.json"} </w:instrText>
      </w:r>
      <w:r w:rsidR="00000CBB">
        <w:fldChar w:fldCharType="separate"/>
      </w:r>
      <w:r w:rsidR="00000CBB" w:rsidRPr="00000CBB">
        <w:t>(Hair et al., 2019)</w:t>
      </w:r>
      <w:r w:rsidR="00000CBB">
        <w:fldChar w:fldCharType="end"/>
      </w:r>
      <w:r w:rsidRPr="008878DD">
        <w:t>.</w:t>
      </w:r>
    </w:p>
    <w:p w:rsidR="008878DD" w:rsidRPr="002A064F" w:rsidRDefault="008878DD" w:rsidP="00BA7464">
      <w:pPr>
        <w:spacing w:line="480" w:lineRule="auto"/>
        <w:jc w:val="center"/>
        <w:rPr>
          <w:rFonts w:ascii="Times New Roman" w:eastAsia="Times New Roman" w:hAnsi="Times New Roman" w:cs="Times New Roman"/>
          <w:b/>
          <w:sz w:val="24"/>
          <w:szCs w:val="24"/>
        </w:rPr>
      </w:pPr>
      <w:r w:rsidRPr="002A064F">
        <w:rPr>
          <w:rFonts w:ascii="Times New Roman" w:eastAsia="Times New Roman" w:hAnsi="Times New Roman" w:cs="Times New Roman"/>
          <w:b/>
          <w:sz w:val="24"/>
          <w:szCs w:val="24"/>
        </w:rPr>
        <w:t>Table 5: Coefficient of Determination</w:t>
      </w:r>
    </w:p>
    <w:p w:rsidR="008878DD" w:rsidRPr="002A064F" w:rsidRDefault="008878DD" w:rsidP="00BA7464">
      <w:pPr>
        <w:spacing w:line="480" w:lineRule="auto"/>
        <w:jc w:val="center"/>
        <w:rPr>
          <w:rFonts w:ascii="Times New Roman" w:eastAsia="Times New Roman" w:hAnsi="Times New Roman" w:cs="Times New Roman"/>
          <w:b/>
          <w:sz w:val="24"/>
          <w:szCs w:val="24"/>
        </w:rPr>
      </w:pPr>
      <w:r w:rsidRPr="002A064F">
        <w:rPr>
          <w:rFonts w:ascii="Times New Roman" w:eastAsia="Times New Roman" w:hAnsi="Times New Roman" w:cs="Times New Roman"/>
          <w:b/>
          <w:sz w:val="24"/>
          <w:szCs w:val="24"/>
        </w:rPr>
        <w:t>Table 6: Results</w:t>
      </w:r>
    </w:p>
    <w:p w:rsidR="00B57694" w:rsidRPr="002A064F" w:rsidRDefault="002A064F" w:rsidP="00BA7464">
      <w:pPr>
        <w:spacing w:line="480" w:lineRule="auto"/>
        <w:jc w:val="center"/>
        <w:rPr>
          <w:rFonts w:ascii="Times New Roman" w:eastAsia="Times New Roman" w:hAnsi="Times New Roman" w:cs="Times New Roman"/>
          <w:b/>
          <w:sz w:val="24"/>
          <w:szCs w:val="24"/>
        </w:rPr>
      </w:pPr>
      <w:proofErr w:type="gramStart"/>
      <w:r w:rsidRPr="002A064F">
        <w:rPr>
          <w:rFonts w:ascii="Times New Roman" w:eastAsia="Times New Roman" w:hAnsi="Times New Roman" w:cs="Times New Roman"/>
          <w:b/>
          <w:sz w:val="24"/>
          <w:szCs w:val="24"/>
        </w:rPr>
        <w:t>Table 7</w:t>
      </w:r>
      <w:r w:rsidR="00B57694" w:rsidRPr="002A064F">
        <w:rPr>
          <w:rFonts w:ascii="Times New Roman" w:eastAsia="Times New Roman" w:hAnsi="Times New Roman" w:cs="Times New Roman"/>
          <w:b/>
          <w:sz w:val="24"/>
          <w:szCs w:val="24"/>
        </w:rPr>
        <w:t>.</w:t>
      </w:r>
      <w:proofErr w:type="gramEnd"/>
      <w:r w:rsidR="00B57694" w:rsidRPr="002A064F">
        <w:rPr>
          <w:rFonts w:ascii="Times New Roman" w:eastAsia="Times New Roman" w:hAnsi="Times New Roman" w:cs="Times New Roman"/>
          <w:b/>
          <w:sz w:val="24"/>
          <w:szCs w:val="24"/>
        </w:rPr>
        <w:t xml:space="preserve"> Model Fit</w:t>
      </w:r>
      <w:r w:rsidRPr="002A064F">
        <w:rPr>
          <w:rFonts w:ascii="Times New Roman" w:eastAsia="Times New Roman" w:hAnsi="Times New Roman" w:cs="Times New Roman"/>
          <w:b/>
          <w:sz w:val="24"/>
          <w:szCs w:val="24"/>
        </w:rPr>
        <w:t xml:space="preserve"> (All Factors)</w:t>
      </w:r>
    </w:p>
    <w:p w:rsidR="001138FE" w:rsidRPr="002A064F" w:rsidRDefault="001138FE" w:rsidP="00BA7464">
      <w:pPr>
        <w:spacing w:line="480" w:lineRule="auto"/>
        <w:jc w:val="center"/>
        <w:rPr>
          <w:rFonts w:ascii="Times New Roman" w:eastAsia="Times New Roman" w:hAnsi="Times New Roman" w:cs="Times New Roman"/>
          <w:b/>
          <w:sz w:val="24"/>
          <w:szCs w:val="24"/>
        </w:rPr>
      </w:pPr>
      <w:proofErr w:type="gramStart"/>
      <w:r w:rsidRPr="002A064F">
        <w:rPr>
          <w:rFonts w:ascii="Times New Roman" w:eastAsia="Times New Roman" w:hAnsi="Times New Roman" w:cs="Times New Roman"/>
          <w:b/>
          <w:sz w:val="24"/>
          <w:szCs w:val="24"/>
        </w:rPr>
        <w:t xml:space="preserve">Table </w:t>
      </w:r>
      <w:r w:rsidR="002A064F" w:rsidRPr="002A064F">
        <w:rPr>
          <w:rFonts w:ascii="Times New Roman" w:eastAsia="Times New Roman" w:hAnsi="Times New Roman" w:cs="Times New Roman"/>
          <w:b/>
          <w:sz w:val="24"/>
          <w:szCs w:val="24"/>
        </w:rPr>
        <w:t>8</w:t>
      </w:r>
      <w:r w:rsidRPr="002A064F">
        <w:rPr>
          <w:rFonts w:ascii="Times New Roman" w:eastAsia="Times New Roman" w:hAnsi="Times New Roman" w:cs="Times New Roman"/>
          <w:b/>
          <w:sz w:val="24"/>
          <w:szCs w:val="24"/>
        </w:rPr>
        <w:t>.</w:t>
      </w:r>
      <w:proofErr w:type="gramEnd"/>
      <w:r w:rsidRPr="002A064F">
        <w:rPr>
          <w:rFonts w:ascii="Times New Roman" w:eastAsia="Times New Roman" w:hAnsi="Times New Roman" w:cs="Times New Roman"/>
          <w:b/>
          <w:sz w:val="24"/>
          <w:szCs w:val="24"/>
        </w:rPr>
        <w:t xml:space="preserve"> Model Fit</w:t>
      </w:r>
    </w:p>
    <w:p w:rsidR="001138FE" w:rsidRDefault="001138FE" w:rsidP="00E26366">
      <w:pPr>
        <w:pStyle w:val="NormalWeb"/>
        <w:spacing w:line="480" w:lineRule="auto"/>
        <w:jc w:val="both"/>
      </w:pPr>
      <w:r w:rsidRPr="00D3615D">
        <w:t>Predictive relevance</w:t>
      </w:r>
      <w:r w:rsidRPr="008878DD">
        <w:t xml:space="preserve"> was assessed using the Stone–</w:t>
      </w:r>
      <w:proofErr w:type="spellStart"/>
      <w:r w:rsidRPr="008878DD">
        <w:t>Geisser’s</w:t>
      </w:r>
      <w:proofErr w:type="spellEnd"/>
      <w:r w:rsidRPr="008878DD">
        <w:t xml:space="preserve"> Q² statistic. All Q² values reported in Table 4 are substantially greater than zero, indicating adequate out-of-sample predictive power for the endogenous constructs </w:t>
      </w:r>
      <w:r>
        <w:fldChar w:fldCharType="begin"/>
      </w:r>
      <w:r w:rsidR="00A06944">
        <w:instrText xml:space="preserve"> ADDIN ZOTERO_ITEM CSL_CITATION {"citationID":"9wSaySFH","properties":{"formattedCitation":"(Peng &amp; Lai, 2012)","plainCitation":"(Peng &amp; Lai, 2012)","noteIndex":0},"citationItems":[{"id":1928,"uris":["http://zotero.org/users/12485464/items/335S4KJZ","http://zotero.org/users/12485464/items/KSBY6WTW"],"itemData":{"id":1928,"type":"article-journal","abstract":"Abstract\n            \n              \n              The partial least squares (PLS) approach to structural equation modeling (SEM) has been widely adopted in business research fields such as information systems, consumer behavior, and marketing. The use of PLS in the field of operations management is also growing. However, questions still exist among some operations management researchers regarding whether and how PLS should be used. To address these questions, our study provides a practical guideline for using PLS and uses examples from the operations management literature to demonstrate how the specific points in this guideline can be applied. In addition, our study reviews and summarizes the use of PLS in the recent operations management literature according to our guideline. The main contribution of this study is to present a practical guideline for evaluating and using PLS that is tailored to the operations management field.","container-title":"Journal of Operations Management","DOI":"10.1016/j.jom.2012.06.002","ISSN":"0272-6963, 1873-1317","issue":"6","journalAbbreviation":"J of Ops Management","language":"en","license":"http://onlinelibrary.wiley.com/termsAndConditions#vor","page":"467-480","source":"DOI.org (Crossref)","title":"Using partial least squares in operations management research: A practical guideline and summary of past research","title-short":"Using partial least squares in operations management research","volume":"30","author":[{"family":"Peng","given":"David Xiaosong"},{"family":"Lai","given":"Fujun"}],"issued":{"date-parts":[["2012",9]]}}}],"schema":"https://github.com/citation-style-language/schema/raw/master/csl-citation.json"} </w:instrText>
      </w:r>
      <w:r>
        <w:fldChar w:fldCharType="separate"/>
      </w:r>
      <w:r w:rsidRPr="00000CBB">
        <w:t>(Peng &amp; Lai, 2012)</w:t>
      </w:r>
      <w:r>
        <w:fldChar w:fldCharType="end"/>
      </w:r>
      <w:r w:rsidRPr="008878DD">
        <w:t>. This reinforces the model's capacity to anticipate consumer behavior and organizational adaptation within turbulent environments.</w:t>
      </w:r>
      <w:r>
        <w:t xml:space="preserve"> </w:t>
      </w:r>
      <w:r w:rsidRPr="008878DD">
        <w:t xml:space="preserve">The </w:t>
      </w:r>
      <w:r w:rsidRPr="00D3615D">
        <w:t>structural relationships</w:t>
      </w:r>
      <w:r w:rsidRPr="008878DD">
        <w:t xml:space="preserve"> were further examined through path analysis using </w:t>
      </w:r>
      <w:proofErr w:type="spellStart"/>
      <w:r w:rsidRPr="008878DD">
        <w:t>SmartPLS</w:t>
      </w:r>
      <w:proofErr w:type="spellEnd"/>
      <w:r w:rsidRPr="008878DD">
        <w:t xml:space="preserve"> 4 with 5,000 bootstrap samples. The </w:t>
      </w:r>
      <w:r w:rsidRPr="00D3615D">
        <w:t>path coefficients (β)</w:t>
      </w:r>
      <w:r w:rsidRPr="008878DD">
        <w:t xml:space="preserve"> denote the magnitude of influence of one construct on another, while the associated </w:t>
      </w:r>
      <w:r w:rsidRPr="00D3615D">
        <w:t>p-values</w:t>
      </w:r>
      <w:r w:rsidRPr="008878DD">
        <w:t xml:space="preserve"> indicate statistical significance. As depicted in Figure 2 and Table </w:t>
      </w:r>
      <w:r>
        <w:t>6</w:t>
      </w:r>
      <w:r w:rsidRPr="008878DD">
        <w:t xml:space="preserve">, </w:t>
      </w:r>
      <w:r w:rsidR="003C1E97">
        <w:t>AG</w:t>
      </w:r>
      <w:r w:rsidRPr="008878DD">
        <w:t xml:space="preserve"> significantly influences </w:t>
      </w:r>
      <w:r w:rsidR="00DC73C4">
        <w:t>ROC</w:t>
      </w:r>
      <w:r w:rsidRPr="008878DD">
        <w:t xml:space="preserve"> (β = 0.5</w:t>
      </w:r>
      <w:r>
        <w:t>91</w:t>
      </w:r>
      <w:r w:rsidRPr="008878DD">
        <w:t xml:space="preserve">, p &lt; 0.001), and </w:t>
      </w:r>
      <w:r w:rsidR="003C1E97">
        <w:t>OR</w:t>
      </w:r>
      <w:r w:rsidRPr="008878DD">
        <w:t xml:space="preserve"> (β = 0.</w:t>
      </w:r>
      <w:r>
        <w:t>180</w:t>
      </w:r>
      <w:r w:rsidRPr="008878DD">
        <w:t xml:space="preserve">, p </w:t>
      </w:r>
      <w:r>
        <w:t>=</w:t>
      </w:r>
      <w:r w:rsidRPr="008878DD">
        <w:t xml:space="preserve"> 0.0</w:t>
      </w:r>
      <w:r>
        <w:t>04</w:t>
      </w:r>
      <w:r w:rsidRPr="008878DD">
        <w:t xml:space="preserve">). Likewise, </w:t>
      </w:r>
      <w:r w:rsidR="00DC73C4">
        <w:t>ROC</w:t>
      </w:r>
      <w:r w:rsidRPr="008878DD">
        <w:t xml:space="preserve"> demonstrates significant positive effects on </w:t>
      </w:r>
      <w:r w:rsidR="003C1E97">
        <w:t>OR</w:t>
      </w:r>
      <w:r w:rsidRPr="008878DD">
        <w:t xml:space="preserve"> (β = 0.57</w:t>
      </w:r>
      <w:r>
        <w:t>5</w:t>
      </w:r>
      <w:r w:rsidRPr="008878DD">
        <w:t xml:space="preserve">, p &lt; 0.001). </w:t>
      </w:r>
      <w:r w:rsidR="003C1E97">
        <w:t>AD</w:t>
      </w:r>
      <w:r w:rsidRPr="008878DD">
        <w:t xml:space="preserve"> also positively impacts </w:t>
      </w:r>
      <w:r w:rsidR="003C1E97">
        <w:t>AG</w:t>
      </w:r>
      <w:r w:rsidRPr="008878DD">
        <w:t xml:space="preserve"> (β = 0.</w:t>
      </w:r>
      <w:r>
        <w:t>473</w:t>
      </w:r>
      <w:r w:rsidRPr="008878DD">
        <w:t>, p &lt; 0.001). These findings support the proposed hypotheses and suggest a robust interconnection between digital initiatives, agile business models, and organizational resilience from a strategic consumer engagement perspective (</w:t>
      </w:r>
      <w:proofErr w:type="spellStart"/>
      <w:r w:rsidRPr="008878DD">
        <w:t>Mikalef</w:t>
      </w:r>
      <w:proofErr w:type="spellEnd"/>
      <w:r w:rsidRPr="008878DD">
        <w:t xml:space="preserve"> et al., 2020; Teece, </w:t>
      </w:r>
      <w:r w:rsidRPr="008878DD">
        <w:lastRenderedPageBreak/>
        <w:t>2018).</w:t>
      </w:r>
      <w:r w:rsidR="00BA7464">
        <w:t xml:space="preserve"> Thus </w:t>
      </w:r>
      <w:r w:rsidR="00BA7464" w:rsidRPr="00BA7464">
        <w:t>In light of the findings and results, all hypotheses have been validated</w:t>
      </w:r>
      <w:r w:rsidR="00A77975">
        <w:t xml:space="preserve"> as mentioned in Table 6</w:t>
      </w:r>
      <w:r w:rsidR="00BA7464" w:rsidRPr="00BA7464">
        <w:t>.</w:t>
      </w:r>
    </w:p>
    <w:p w:rsidR="004E5E9F" w:rsidRPr="00B57694" w:rsidRDefault="00E51D6B" w:rsidP="00E26366">
      <w:pPr>
        <w:pStyle w:val="Heading3"/>
        <w:numPr>
          <w:ilvl w:val="0"/>
          <w:numId w:val="2"/>
        </w:numPr>
        <w:spacing w:line="480" w:lineRule="auto"/>
        <w:rPr>
          <w:b w:val="0"/>
          <w:bCs w:val="0"/>
        </w:rPr>
      </w:pPr>
      <w:r w:rsidRPr="00B57694">
        <w:t xml:space="preserve">Discussion </w:t>
      </w:r>
    </w:p>
    <w:p w:rsidR="00B57694" w:rsidRPr="00B57694" w:rsidRDefault="00B57694" w:rsidP="00E26366">
      <w:pPr>
        <w:spacing w:line="480" w:lineRule="auto"/>
        <w:ind w:left="360"/>
        <w:jc w:val="both"/>
        <w:rPr>
          <w:rFonts w:ascii="Times New Roman" w:eastAsia="Times New Roman" w:hAnsi="Times New Roman" w:cs="Times New Roman"/>
          <w:sz w:val="24"/>
          <w:szCs w:val="24"/>
        </w:rPr>
      </w:pPr>
      <w:r>
        <w:rPr>
          <w:rFonts w:ascii="Times New Roman" w:eastAsia="Times New Roman" w:hAnsi="Times New Roman" w:cs="Times New Roman"/>
          <w:b/>
          <w:bCs/>
          <w:color w:val="000000"/>
          <w:sz w:val="26"/>
          <w:szCs w:val="26"/>
        </w:rPr>
        <w:t>6</w:t>
      </w:r>
      <w:r w:rsidRPr="00B57694">
        <w:rPr>
          <w:rFonts w:ascii="Times New Roman" w:eastAsia="Times New Roman" w:hAnsi="Times New Roman" w:cs="Times New Roman"/>
          <w:b/>
          <w:bCs/>
          <w:color w:val="000000"/>
          <w:sz w:val="26"/>
          <w:szCs w:val="26"/>
        </w:rPr>
        <w:t>.1</w:t>
      </w:r>
      <w:r>
        <w:rPr>
          <w:rFonts w:ascii="Times New Roman" w:eastAsia="Times New Roman" w:hAnsi="Times New Roman" w:cs="Times New Roman"/>
          <w:b/>
          <w:bCs/>
          <w:color w:val="000000"/>
          <w:sz w:val="26"/>
          <w:szCs w:val="26"/>
        </w:rPr>
        <w:t xml:space="preserve"> </w:t>
      </w:r>
      <w:r w:rsidRPr="00B57694">
        <w:rPr>
          <w:rFonts w:eastAsia="Times New Roman" w:cs="Times New Roman"/>
          <w:b/>
          <w:bCs/>
          <w:color w:val="000000"/>
          <w:sz w:val="26"/>
          <w:szCs w:val="26"/>
        </w:rPr>
        <w:t>Theoretical and Practical Implications</w:t>
      </w:r>
    </w:p>
    <w:p w:rsidR="008A7D43" w:rsidRDefault="008A7D43" w:rsidP="00E26366">
      <w:pPr>
        <w:pStyle w:val="NormalWeb"/>
        <w:spacing w:line="480" w:lineRule="auto"/>
        <w:jc w:val="both"/>
      </w:pPr>
      <w:r>
        <w:t xml:space="preserve">This study offers several key theoretical contributions to the literature on strategic management and consumer research. First, it introduces a theoretical lens grounded in the dynamic capabilities framework to examine the relationship between agility and organizational resilience. In an environment increasingly shaped by the pervasive integration of digital technologies across products, services, operations, and marketing, agility emerges as a vital capability (Teece, 2007; </w:t>
      </w:r>
      <w:proofErr w:type="spellStart"/>
      <w:r>
        <w:t>Bharadwaj</w:t>
      </w:r>
      <w:proofErr w:type="spellEnd"/>
      <w:r>
        <w:t xml:space="preserve"> et al., 2013). While prior research has predominantly examined agility as a dynamic capability within the context of supply chain resilience (Pettit, </w:t>
      </w:r>
      <w:proofErr w:type="spellStart"/>
      <w:r>
        <w:t>Fiksel</w:t>
      </w:r>
      <w:proofErr w:type="spellEnd"/>
      <w:r>
        <w:t xml:space="preserve">, &amp; </w:t>
      </w:r>
      <w:proofErr w:type="spellStart"/>
      <w:r>
        <w:t>Croxton</w:t>
      </w:r>
      <w:proofErr w:type="spellEnd"/>
      <w:r>
        <w:t xml:space="preserve">, 2010), limited scholarly attention has been directed toward understanding the role of agility in enhancing organizational resilience from a consumer research perspective. Given the growing volatility and complexity of digital ecosystems, this study addresses the gap by proposing a nuanced framework that underscores how </w:t>
      </w:r>
      <w:r w:rsidR="00A77975">
        <w:t>agility supported by ambidexterity</w:t>
      </w:r>
      <w:r>
        <w:t xml:space="preserve"> and the effective orchestration of resources contribute to the development of organizational resilience (</w:t>
      </w:r>
      <w:proofErr w:type="spellStart"/>
      <w:r>
        <w:t>Wamba</w:t>
      </w:r>
      <w:proofErr w:type="spellEnd"/>
      <w:r>
        <w:t xml:space="preserve"> et al., 2017; </w:t>
      </w:r>
      <w:proofErr w:type="spellStart"/>
      <w:r>
        <w:t>Mikalef</w:t>
      </w:r>
      <w:proofErr w:type="spellEnd"/>
      <w:r>
        <w:t xml:space="preserve"> et al., 2020). Second, this research extends the resource orchestration theory by illustrating the critical role of managing, integrating, and deploying resources in ways that complement agility to absorb environmental shocks and maintain or regain operational stability (</w:t>
      </w:r>
      <w:proofErr w:type="spellStart"/>
      <w:r>
        <w:t>Sirmon</w:t>
      </w:r>
      <w:proofErr w:type="spellEnd"/>
      <w:r>
        <w:t xml:space="preserve">, </w:t>
      </w:r>
      <w:proofErr w:type="spellStart"/>
      <w:r>
        <w:t>Hitt</w:t>
      </w:r>
      <w:proofErr w:type="spellEnd"/>
      <w:r>
        <w:t xml:space="preserve">, &amp; Ireland, 2007). The integration of dynamic capabilities theory and resource orchestration theory presents a novel conceptual foundation that explicates how organizations can adapt and thrive amid </w:t>
      </w:r>
      <w:r w:rsidR="00A77975">
        <w:t>environmental dynamism</w:t>
      </w:r>
      <w:r>
        <w:t xml:space="preserve">—a phenomenon characterized by rapid, unpredictable </w:t>
      </w:r>
      <w:r>
        <w:lastRenderedPageBreak/>
        <w:t xml:space="preserve">technological </w:t>
      </w:r>
      <w:r w:rsidR="00A77975">
        <w:t>and socio-</w:t>
      </w:r>
      <w:proofErr w:type="spellStart"/>
      <w:r w:rsidR="00A77975">
        <w:t>economical</w:t>
      </w:r>
      <w:proofErr w:type="spellEnd"/>
      <w:r w:rsidR="00A77975">
        <w:t xml:space="preserve"> disruptions</w:t>
      </w:r>
      <w:r>
        <w:t xml:space="preserve"> (</w:t>
      </w:r>
      <w:proofErr w:type="spellStart"/>
      <w:r>
        <w:t>Karimi</w:t>
      </w:r>
      <w:proofErr w:type="spellEnd"/>
      <w:r>
        <w:t xml:space="preserve"> &amp; Walter, 2015). The findings empirically validate the mediating role of resource orchestration in enhancing </w:t>
      </w:r>
      <w:r w:rsidR="00A77975">
        <w:t xml:space="preserve">organizational </w:t>
      </w:r>
      <w:r>
        <w:t xml:space="preserve">resilience, reinforcing the theoretical robustness of the proposed framework. Third, this study contributes to the ambidexterity literature by exploring how the dual capacity to explore novel technologies and exploit existing capabilities enhances agility under conditions of </w:t>
      </w:r>
      <w:r w:rsidR="00A77975">
        <w:t>environmental</w:t>
      </w:r>
      <w:r>
        <w:t xml:space="preserve"> turbulence (</w:t>
      </w:r>
      <w:proofErr w:type="spellStart"/>
      <w:r>
        <w:t>Raisch</w:t>
      </w:r>
      <w:proofErr w:type="spellEnd"/>
      <w:r>
        <w:t xml:space="preserve"> &amp; </w:t>
      </w:r>
      <w:proofErr w:type="spellStart"/>
      <w:r>
        <w:t>Birkinshaw</w:t>
      </w:r>
      <w:proofErr w:type="spellEnd"/>
      <w:r>
        <w:t xml:space="preserve">, 2008; Vial, 2019). The results indicate that the ability to sense exogenous disruptions and respond strategically through agility significantly influences resilience outcomes, particularly in fast-evolving </w:t>
      </w:r>
      <w:r w:rsidR="00A77975">
        <w:t>dynamic</w:t>
      </w:r>
      <w:r>
        <w:t xml:space="preserve"> markets. This underscores the need for organizations to develop capabilities that balance innovation with operational continuity in order to maintain consumer trust and competitive advantage.</w:t>
      </w:r>
    </w:p>
    <w:p w:rsidR="008A7D43" w:rsidRDefault="008A7D43" w:rsidP="00E26366">
      <w:pPr>
        <w:pStyle w:val="NormalWeb"/>
        <w:spacing w:line="480" w:lineRule="auto"/>
        <w:jc w:val="both"/>
      </w:pPr>
      <w:r>
        <w:t>The practical implications of these findings are multifaceted. First, the significant relationship between agility and organizational resilience suggests that firms should invest in developing agile infrastructures and capabilities that facilitate rapid sensing and response to external disruptions (</w:t>
      </w:r>
      <w:proofErr w:type="spellStart"/>
      <w:r>
        <w:t>Overby</w:t>
      </w:r>
      <w:proofErr w:type="spellEnd"/>
      <w:r>
        <w:t xml:space="preserve">, </w:t>
      </w:r>
      <w:proofErr w:type="spellStart"/>
      <w:r>
        <w:t>Bharadwaj</w:t>
      </w:r>
      <w:proofErr w:type="spellEnd"/>
      <w:r>
        <w:t xml:space="preserve">, &amp; </w:t>
      </w:r>
      <w:proofErr w:type="spellStart"/>
      <w:r>
        <w:t>Sambamurthy</w:t>
      </w:r>
      <w:proofErr w:type="spellEnd"/>
      <w:r>
        <w:t xml:space="preserve">, 2006). Second, effective management of </w:t>
      </w:r>
      <w:r w:rsidR="00A77975">
        <w:t xml:space="preserve">internal </w:t>
      </w:r>
      <w:r>
        <w:t>resources—including acquisition, decommissioning, integration, and leveraging—can substantially enhance resilience by enabling firms to capitalize on emerging opportunities while mitigating risks (</w:t>
      </w:r>
      <w:proofErr w:type="spellStart"/>
      <w:r>
        <w:t>Drnevich</w:t>
      </w:r>
      <w:proofErr w:type="spellEnd"/>
      <w:r>
        <w:t xml:space="preserve"> &amp; </w:t>
      </w:r>
      <w:proofErr w:type="spellStart"/>
      <w:r>
        <w:t>Kriauciunas</w:t>
      </w:r>
      <w:proofErr w:type="spellEnd"/>
      <w:r>
        <w:t xml:space="preserve">, 2011). This necessitates a strategic focus on resource orchestration practices that align digital assets with evolving organizational goals. Furthermore, cross-functional collaboration is essential to ensure </w:t>
      </w:r>
      <w:r w:rsidR="00A77975">
        <w:t xml:space="preserve">seamless integration of </w:t>
      </w:r>
      <w:r>
        <w:t xml:space="preserve">resources across various business units, thus enhancing organizational responsiveness and continuity during crises (Li et al., 2018). Managers should continuously evaluate and reconfigure assets to align with shifting consumer needs and market dynamics. Lastly, fostering </w:t>
      </w:r>
      <w:r w:rsidR="00A77975">
        <w:t>a</w:t>
      </w:r>
      <w:r>
        <w:t xml:space="preserve">mbidexterity through a balanced emphasis on exploration and exploitation is crucial. By dedicating resources to both innovation and operational optimization, organizations can cultivate a resilient and adaptive culture capable of navigating turbulence </w:t>
      </w:r>
      <w:r>
        <w:lastRenderedPageBreak/>
        <w:t>(O'Reilly &amp; Tushman, 2013). This duality enables firms to maintain strategic flexibility and ensure long-term consumer rel</w:t>
      </w:r>
      <w:r w:rsidR="00A77975">
        <w:t>evance in increasingly VUCA business environment</w:t>
      </w:r>
      <w:r>
        <w:t>.</w:t>
      </w:r>
    </w:p>
    <w:p w:rsidR="00B57694" w:rsidRPr="00B57694" w:rsidRDefault="00B57694" w:rsidP="00E26366">
      <w:pPr>
        <w:spacing w:before="240" w:after="240" w:line="480" w:lineRule="auto"/>
        <w:jc w:val="both"/>
        <w:rPr>
          <w:rFonts w:ascii="Times New Roman" w:eastAsia="Times New Roman" w:hAnsi="Times New Roman" w:cs="Times New Roman"/>
          <w:sz w:val="24"/>
          <w:szCs w:val="24"/>
        </w:rPr>
      </w:pPr>
      <w:r w:rsidRPr="00B57694">
        <w:rPr>
          <w:rFonts w:ascii="Times New Roman" w:eastAsia="Times New Roman" w:hAnsi="Times New Roman" w:cs="Times New Roman"/>
          <w:b/>
          <w:bCs/>
          <w:color w:val="000000"/>
          <w:sz w:val="26"/>
          <w:szCs w:val="26"/>
        </w:rPr>
        <w:t>6.2.</w:t>
      </w:r>
      <w:proofErr w:type="gramStart"/>
      <w:r w:rsidRPr="00B57694">
        <w:rPr>
          <w:rFonts w:ascii="Times New Roman" w:eastAsia="Times New Roman" w:hAnsi="Times New Roman" w:cs="Times New Roman"/>
          <w:b/>
          <w:bCs/>
          <w:color w:val="000000"/>
          <w:sz w:val="26"/>
          <w:szCs w:val="26"/>
        </w:rPr>
        <w:t>  Limitations</w:t>
      </w:r>
      <w:proofErr w:type="gramEnd"/>
      <w:r w:rsidRPr="00B57694">
        <w:rPr>
          <w:rFonts w:ascii="Times New Roman" w:eastAsia="Times New Roman" w:hAnsi="Times New Roman" w:cs="Times New Roman"/>
          <w:b/>
          <w:bCs/>
          <w:color w:val="000000"/>
          <w:sz w:val="26"/>
          <w:szCs w:val="26"/>
        </w:rPr>
        <w:t xml:space="preserve"> and Future Research Directions</w:t>
      </w:r>
    </w:p>
    <w:p w:rsidR="008A7D43" w:rsidRDefault="008A7D43" w:rsidP="00E26366">
      <w:pPr>
        <w:pStyle w:val="NormalWeb"/>
        <w:spacing w:line="480" w:lineRule="auto"/>
        <w:jc w:val="both"/>
      </w:pPr>
      <w:r>
        <w:t>Despite the significant contributions of this study, several limitations present opportunities for future research. First, the heterogeneous nature and typologies of environmental turbulence—such as technological, institutional, and market disruptions—may uniquely influence the development and configuration of organizational resilience. The pace, locus, and degree of uncertainty inherent in these disruptions significantly shape the mechanisms through which dynamic capabilities are configured (</w:t>
      </w:r>
      <w:proofErr w:type="spellStart"/>
      <w:r>
        <w:t>Lavie</w:t>
      </w:r>
      <w:proofErr w:type="spellEnd"/>
      <w:r>
        <w:t>, 2006). For instance, platform-based disruptions (</w:t>
      </w:r>
      <w:proofErr w:type="spellStart"/>
      <w:r>
        <w:t>Cennamo</w:t>
      </w:r>
      <w:proofErr w:type="spellEnd"/>
      <w:r>
        <w:t xml:space="preserve">, </w:t>
      </w:r>
      <w:proofErr w:type="spellStart"/>
      <w:r>
        <w:t>Ozalp</w:t>
      </w:r>
      <w:proofErr w:type="spellEnd"/>
      <w:r>
        <w:t xml:space="preserve">, &amp; </w:t>
      </w:r>
      <w:proofErr w:type="spellStart"/>
      <w:r>
        <w:t>Kretschmer</w:t>
      </w:r>
      <w:proofErr w:type="spellEnd"/>
      <w:r>
        <w:t>, 2022), as seen in digital ecosystems, or institutional disruptions such as the transition from traditional retail to e-commerce and from classroom-based education to online learning (</w:t>
      </w:r>
      <w:proofErr w:type="spellStart"/>
      <w:r>
        <w:t>Pokhrel</w:t>
      </w:r>
      <w:proofErr w:type="spellEnd"/>
      <w:r>
        <w:t xml:space="preserve"> &amp; </w:t>
      </w:r>
      <w:proofErr w:type="spellStart"/>
      <w:r>
        <w:t>Chhetri</w:t>
      </w:r>
      <w:proofErr w:type="spellEnd"/>
      <w:r>
        <w:t>, 2021), may demand context-specific strategies to foster resilience. Future research could thus benefit from a more granular exploration of these distinct forms of turbulence and their differentiated impacts on capability deployment and resilience-building.</w:t>
      </w:r>
    </w:p>
    <w:p w:rsidR="008A7D43" w:rsidRDefault="008A7D43" w:rsidP="00E26366">
      <w:pPr>
        <w:pStyle w:val="NormalWeb"/>
        <w:spacing w:line="480" w:lineRule="auto"/>
        <w:jc w:val="both"/>
      </w:pPr>
      <w:r>
        <w:t>Second, this study adopts a cross-sectional research design, which limits the ability to capture the temporal dynamics of capability development and resilience formation. Given that organizational resilience is inherently a long-term and evolving process, longitudinal research could offer deeper insights into the causal relationships and developmental trajectories involved (</w:t>
      </w:r>
      <w:proofErr w:type="spellStart"/>
      <w:r>
        <w:t>Sirmon</w:t>
      </w:r>
      <w:proofErr w:type="spellEnd"/>
      <w:r>
        <w:t xml:space="preserve"> et al., 2011). Although procedural remedies were applied to mitigate nonresponse and common method biases, employing longitudinal and </w:t>
      </w:r>
      <w:proofErr w:type="spellStart"/>
      <w:r>
        <w:t>multimethod</w:t>
      </w:r>
      <w:proofErr w:type="spellEnd"/>
      <w:r>
        <w:t xml:space="preserve"> research—such as panel data analysis, qualitative case studies, and secondary data triangulation—could enhance the robustness and validity of future findings (</w:t>
      </w:r>
      <w:proofErr w:type="spellStart"/>
      <w:r>
        <w:t>Podsakoff</w:t>
      </w:r>
      <w:proofErr w:type="spellEnd"/>
      <w:r>
        <w:t xml:space="preserve"> et al., 2003; Edmondson &amp; McManus, 2007).</w:t>
      </w:r>
    </w:p>
    <w:p w:rsidR="008A7D43" w:rsidRDefault="008A7D43" w:rsidP="00E26366">
      <w:pPr>
        <w:pStyle w:val="NormalWeb"/>
        <w:spacing w:line="480" w:lineRule="auto"/>
        <w:jc w:val="both"/>
      </w:pPr>
      <w:r>
        <w:lastRenderedPageBreak/>
        <w:t>Third, the current study operationalized resource orchestration capability as a composite construct. However, resource orchestration theory posits three distinct sub-dimensions: structuring, bundling, and leveraging (</w:t>
      </w:r>
      <w:proofErr w:type="spellStart"/>
      <w:r>
        <w:t>Sirmon</w:t>
      </w:r>
      <w:proofErr w:type="spellEnd"/>
      <w:r>
        <w:t xml:space="preserve">, </w:t>
      </w:r>
      <w:proofErr w:type="spellStart"/>
      <w:r>
        <w:t>Hitt</w:t>
      </w:r>
      <w:proofErr w:type="spellEnd"/>
      <w:r>
        <w:t>, &amp; Ireland, 2007). Each of these may exert differential effects on organizational resilience. Future research could disaggregate this construct to examine how each sub-dimension uniquely contributes to resilience, thereby offering a more nuanced understanding of resource orchestration processes.</w:t>
      </w:r>
    </w:p>
    <w:p w:rsidR="008A7D43" w:rsidRDefault="008A7D43" w:rsidP="00E26366">
      <w:pPr>
        <w:pStyle w:val="NormalWeb"/>
        <w:spacing w:line="480" w:lineRule="auto"/>
        <w:jc w:val="both"/>
      </w:pPr>
      <w:r>
        <w:t>Fourth, the empirical setting of this study is restricted to firms operating in an emerging economy—India. As technological infrastructures, digital maturity, and institutional environments vary widely across regions, the findings may not be fully generalizable to advanced economies such as the United States, Germany, South Korea, or Japan. Future comparative studies could investigate how national contexts and digital readiness influence the interplay among agility, orchestration capabilities, and resilience outcomes (</w:t>
      </w:r>
      <w:proofErr w:type="spellStart"/>
      <w:r>
        <w:t>Henisz</w:t>
      </w:r>
      <w:proofErr w:type="spellEnd"/>
      <w:r>
        <w:t xml:space="preserve">, </w:t>
      </w:r>
      <w:proofErr w:type="spellStart"/>
      <w:r>
        <w:t>Zelner</w:t>
      </w:r>
      <w:proofErr w:type="spellEnd"/>
      <w:r>
        <w:t xml:space="preserve">, &amp; </w:t>
      </w:r>
      <w:proofErr w:type="spellStart"/>
      <w:r>
        <w:t>Guillén</w:t>
      </w:r>
      <w:proofErr w:type="spellEnd"/>
      <w:r>
        <w:t>, 2005; Kraus et al., 2021).</w:t>
      </w:r>
    </w:p>
    <w:p w:rsidR="008A7D43" w:rsidRDefault="008A7D43" w:rsidP="00E26366">
      <w:pPr>
        <w:pStyle w:val="NormalWeb"/>
        <w:spacing w:line="480" w:lineRule="auto"/>
        <w:jc w:val="both"/>
      </w:pPr>
      <w:r>
        <w:t xml:space="preserve">Fifth, while industry was statistically controlled in the analysis, </w:t>
      </w:r>
      <w:proofErr w:type="spellStart"/>
      <w:r>
        <w:t>sectoral</w:t>
      </w:r>
      <w:proofErr w:type="spellEnd"/>
      <w:r>
        <w:t xml:space="preserve"> heterogeneity—such as between high-tech firms, manufacturing, healthcare, finance, and other industries—may yield divergent resilience dynamics. Moreover, small and medium-sized enterprises (SMEs), which often face resource constraints, may exhibit different resilience-building pathways compared to larger firms (</w:t>
      </w:r>
      <w:proofErr w:type="spellStart"/>
      <w:r>
        <w:t>Battisti</w:t>
      </w:r>
      <w:proofErr w:type="spellEnd"/>
      <w:r>
        <w:t xml:space="preserve"> &amp; </w:t>
      </w:r>
      <w:proofErr w:type="spellStart"/>
      <w:r>
        <w:t>Deakins</w:t>
      </w:r>
      <w:proofErr w:type="spellEnd"/>
      <w:r>
        <w:t>, 2017). Future studies could explore these sector-specific and firm-size-related variations to enhance the contextual validity of the framework.</w:t>
      </w:r>
    </w:p>
    <w:p w:rsidR="009B6627" w:rsidRDefault="008A7D43" w:rsidP="00E26366">
      <w:pPr>
        <w:pStyle w:val="NormalWeb"/>
        <w:spacing w:line="480" w:lineRule="auto"/>
        <w:jc w:val="both"/>
      </w:pPr>
      <w:r>
        <w:t xml:space="preserve">Lastly, although this study focuses on the antecedents of organizational resilience, the implications of resilience on various performance dimensions remain underexplored. Future research could examine how </w:t>
      </w:r>
      <w:r w:rsidR="00A77975">
        <w:t>organization</w:t>
      </w:r>
      <w:r>
        <w:t xml:space="preserve">al resilience translates into improved strategic outcomes such as operational efficiency, customer satisfaction, market responsiveness, and </w:t>
      </w:r>
      <w:r>
        <w:lastRenderedPageBreak/>
        <w:t>financial performance, thereby providing a more comprehensive view of its organizational value (</w:t>
      </w:r>
      <w:proofErr w:type="spellStart"/>
      <w:r>
        <w:t>Duchek</w:t>
      </w:r>
      <w:proofErr w:type="spellEnd"/>
      <w:r>
        <w:t xml:space="preserve">, 2020; </w:t>
      </w:r>
      <w:proofErr w:type="spellStart"/>
      <w:r>
        <w:t>Linnenluecke</w:t>
      </w:r>
      <w:proofErr w:type="spellEnd"/>
      <w:r>
        <w:t>, 2017).</w:t>
      </w:r>
    </w:p>
    <w:p w:rsidR="00B957A7" w:rsidRDefault="00B957A7" w:rsidP="00E26366">
      <w:pPr>
        <w:pStyle w:val="NormalWeb"/>
        <w:numPr>
          <w:ilvl w:val="0"/>
          <w:numId w:val="2"/>
        </w:numPr>
        <w:spacing w:line="480" w:lineRule="auto"/>
        <w:jc w:val="both"/>
        <w:rPr>
          <w:b/>
          <w:bCs/>
        </w:rPr>
      </w:pPr>
      <w:r>
        <w:rPr>
          <w:b/>
          <w:bCs/>
        </w:rPr>
        <w:t>Conclusion</w:t>
      </w:r>
    </w:p>
    <w:p w:rsidR="006A668B" w:rsidRDefault="006A668B" w:rsidP="00E26366">
      <w:pPr>
        <w:pStyle w:val="NormalWeb"/>
        <w:spacing w:line="480" w:lineRule="auto"/>
        <w:jc w:val="both"/>
      </w:pPr>
      <w:r>
        <w:t>In an increasingly volatile and digitally turbulent environment, organizational resilience is no longer optional but imperative. This study contributes to the evolving discourse on dynamic capabilities by conceptualizing and empirically validating a model that integrates ambidexterity, agility, and resource orchestration as foundational en</w:t>
      </w:r>
      <w:r w:rsidR="002804E4">
        <w:t>ablers of organizational</w:t>
      </w:r>
      <w:r>
        <w:t xml:space="preserve"> resilience (</w:t>
      </w:r>
      <w:r w:rsidR="003C1E97">
        <w:t>OR</w:t>
      </w:r>
      <w:r>
        <w:t xml:space="preserve">). Anchored in the dynamic capabilities and resource orchestration perspectives, the research confirms that agility significantly enhances resilience both directly and indirectly through effective orchestration of </w:t>
      </w:r>
      <w:r w:rsidR="00A77975">
        <w:t>firm</w:t>
      </w:r>
      <w:r>
        <w:t xml:space="preserve"> resources. Moreover, ambidexterity—when moderated by the intensity of </w:t>
      </w:r>
      <w:r w:rsidR="00A77975">
        <w:t>environmental dynamism</w:t>
      </w:r>
      <w:r>
        <w:t xml:space="preserve">—emerges as a critical antecedent of agility, suggesting that firms must balance exploration and exploitation more </w:t>
      </w:r>
      <w:proofErr w:type="spellStart"/>
      <w:r>
        <w:t>skillfully</w:t>
      </w:r>
      <w:proofErr w:type="spellEnd"/>
      <w:r>
        <w:t xml:space="preserve"> in dynamic environments. The findings underscore the importance of cultivating a synchronized and adaptive </w:t>
      </w:r>
      <w:r w:rsidR="00266A9F">
        <w:t>business</w:t>
      </w:r>
      <w:r>
        <w:t xml:space="preserve"> strategy. Organizations that can structure, bundle, and leverage their digital assets to align with emerging opportunities are better positioned to recover from disruptions and sustain performance. Agility acts as a bridge between technological awareness and responsive action, while ambidexterity fuels the dual capacity for innovation and operational excellence. Resource orchestration ensures that these capabilities are not only present but also activated in ways that generate strategic value.</w:t>
      </w:r>
    </w:p>
    <w:p w:rsidR="006A668B" w:rsidRDefault="006A668B" w:rsidP="00E26366">
      <w:pPr>
        <w:pStyle w:val="NormalWeb"/>
        <w:spacing w:line="480" w:lineRule="auto"/>
        <w:jc w:val="both"/>
      </w:pPr>
      <w:r>
        <w:t xml:space="preserve">Practically, the study offers actionable insights for managers seeking to future-proof their organizations. Investments in </w:t>
      </w:r>
      <w:r w:rsidR="00266A9F">
        <w:t>technical</w:t>
      </w:r>
      <w:r>
        <w:t xml:space="preserve"> infrastructure, skills development, and cross-functional collaboration must be coupled with a culture of adaptability and learning. Ultimately, this research </w:t>
      </w:r>
      <w:r w:rsidR="00266A9F">
        <w:t>highlights that resilience in this fast changing environment</w:t>
      </w:r>
      <w:r>
        <w:t xml:space="preserve"> is a dynamic outcome—a function of how well organizations sense, seize, and transform in </w:t>
      </w:r>
      <w:r>
        <w:lastRenderedPageBreak/>
        <w:t>response to disruption. Building such resilience requires more than technology—it demands a strategic interplay of capabilities, culture, and leadership attuned to perpetual change.</w:t>
      </w:r>
    </w:p>
    <w:p w:rsidR="009B6627" w:rsidRDefault="009B6627" w:rsidP="00E26366">
      <w:pPr>
        <w:pStyle w:val="NormalWeb"/>
        <w:numPr>
          <w:ilvl w:val="0"/>
          <w:numId w:val="2"/>
        </w:numPr>
        <w:spacing w:line="480" w:lineRule="auto"/>
        <w:jc w:val="both"/>
        <w:rPr>
          <w:b/>
          <w:bCs/>
        </w:rPr>
      </w:pPr>
      <w:r>
        <w:rPr>
          <w:b/>
          <w:bCs/>
        </w:rPr>
        <w:t>References</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Ambulkar</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Saurabh</w:t>
      </w:r>
      <w:proofErr w:type="spellEnd"/>
      <w:r w:rsidRPr="00AC72DE">
        <w:rPr>
          <w:rFonts w:ascii="Times New Roman" w:hAnsi="Times New Roman" w:cs="Times New Roman"/>
          <w:color w:val="000000"/>
          <w:sz w:val="24"/>
          <w:szCs w:val="24"/>
          <w:lang w:bidi="hi-IN"/>
        </w:rPr>
        <w:t xml:space="preserve">, Jennifer </w:t>
      </w:r>
      <w:proofErr w:type="spellStart"/>
      <w:r w:rsidRPr="00AC72DE">
        <w:rPr>
          <w:rFonts w:ascii="Times New Roman" w:hAnsi="Times New Roman" w:cs="Times New Roman"/>
          <w:color w:val="000000"/>
          <w:sz w:val="24"/>
          <w:szCs w:val="24"/>
          <w:lang w:bidi="hi-IN"/>
        </w:rPr>
        <w:t>Blackhurst</w:t>
      </w:r>
      <w:proofErr w:type="spellEnd"/>
      <w:r w:rsidRPr="00AC72DE">
        <w:rPr>
          <w:rFonts w:ascii="Times New Roman" w:hAnsi="Times New Roman" w:cs="Times New Roman"/>
          <w:color w:val="000000"/>
          <w:sz w:val="24"/>
          <w:szCs w:val="24"/>
          <w:lang w:bidi="hi-IN"/>
        </w:rPr>
        <w:t xml:space="preserve">, and Scott </w:t>
      </w:r>
      <w:proofErr w:type="spellStart"/>
      <w:r w:rsidRPr="00AC72DE">
        <w:rPr>
          <w:rFonts w:ascii="Times New Roman" w:hAnsi="Times New Roman" w:cs="Times New Roman"/>
          <w:color w:val="000000"/>
          <w:sz w:val="24"/>
          <w:szCs w:val="24"/>
          <w:lang w:bidi="hi-IN"/>
        </w:rPr>
        <w:t>Grawe</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“Firm’s Resilience to Supply Chain Disruptions: Scale Development and Empirical Examination.” Journal of Operations Management 33–34, no. 1 (January 2015): 111–22. </w:t>
      </w:r>
      <w:hyperlink r:id="rId6" w:history="1">
        <w:r w:rsidRPr="00AC72DE">
          <w:rPr>
            <w:rFonts w:ascii="Times New Roman" w:hAnsi="Times New Roman" w:cs="Times New Roman"/>
            <w:color w:val="000000"/>
            <w:sz w:val="24"/>
            <w:szCs w:val="24"/>
            <w:lang w:bidi="hi-IN"/>
          </w:rPr>
          <w:t>https://doi.org/10.1016/j.jom.2014.11.002</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Andersson</w:t>
      </w:r>
      <w:proofErr w:type="spellEnd"/>
      <w:r w:rsidRPr="00AC72DE">
        <w:rPr>
          <w:rFonts w:ascii="Times New Roman" w:hAnsi="Times New Roman" w:cs="Times New Roman"/>
          <w:color w:val="000000"/>
          <w:sz w:val="24"/>
          <w:szCs w:val="24"/>
          <w:lang w:bidi="hi-IN"/>
        </w:rPr>
        <w:t xml:space="preserve">, U., </w:t>
      </w:r>
      <w:proofErr w:type="spellStart"/>
      <w:r w:rsidRPr="00AC72DE">
        <w:rPr>
          <w:rFonts w:ascii="Times New Roman" w:hAnsi="Times New Roman" w:cs="Times New Roman"/>
          <w:color w:val="000000"/>
          <w:sz w:val="24"/>
          <w:szCs w:val="24"/>
          <w:lang w:bidi="hi-IN"/>
        </w:rPr>
        <w:t>Dasí</w:t>
      </w:r>
      <w:proofErr w:type="spell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Á.,</w:t>
      </w:r>
      <w:proofErr w:type="gram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Mudambi</w:t>
      </w:r>
      <w:proofErr w:type="spellEnd"/>
      <w:r w:rsidRPr="00AC72DE">
        <w:rPr>
          <w:rFonts w:ascii="Times New Roman" w:hAnsi="Times New Roman" w:cs="Times New Roman"/>
          <w:color w:val="000000"/>
          <w:sz w:val="24"/>
          <w:szCs w:val="24"/>
          <w:lang w:bidi="hi-IN"/>
        </w:rPr>
        <w:t>, R., &amp; Pedersen, T. (2016). Technology, innovation and knowledge: The importance of ideas and international connectivity. Journal of World Business, 51(1), 153-162.</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Arici</w:t>
      </w:r>
      <w:proofErr w:type="spellEnd"/>
      <w:r w:rsidRPr="00AC72DE">
        <w:rPr>
          <w:rFonts w:ascii="Times New Roman" w:hAnsi="Times New Roman" w:cs="Times New Roman"/>
          <w:color w:val="000000"/>
          <w:sz w:val="24"/>
          <w:szCs w:val="24"/>
          <w:lang w:bidi="hi-IN"/>
        </w:rPr>
        <w:t xml:space="preserve">, T., &amp; </w:t>
      </w:r>
      <w:proofErr w:type="spellStart"/>
      <w:r w:rsidRPr="00AC72DE">
        <w:rPr>
          <w:rFonts w:ascii="Times New Roman" w:hAnsi="Times New Roman" w:cs="Times New Roman"/>
          <w:color w:val="000000"/>
          <w:sz w:val="24"/>
          <w:szCs w:val="24"/>
          <w:lang w:bidi="hi-IN"/>
        </w:rPr>
        <w:t>Gok</w:t>
      </w:r>
      <w:proofErr w:type="spellEnd"/>
      <w:r w:rsidRPr="00AC72DE">
        <w:rPr>
          <w:rFonts w:ascii="Times New Roman" w:hAnsi="Times New Roman" w:cs="Times New Roman"/>
          <w:color w:val="000000"/>
          <w:sz w:val="24"/>
          <w:szCs w:val="24"/>
          <w:lang w:bidi="hi-IN"/>
        </w:rPr>
        <w:t>, M. S. (2023).</w:t>
      </w:r>
      <w:proofErr w:type="gramEnd"/>
      <w:r w:rsidRPr="00AC72DE">
        <w:rPr>
          <w:rFonts w:ascii="Times New Roman" w:hAnsi="Times New Roman" w:cs="Times New Roman"/>
          <w:color w:val="000000"/>
          <w:sz w:val="24"/>
          <w:szCs w:val="24"/>
          <w:lang w:bidi="hi-IN"/>
        </w:rPr>
        <w:t xml:space="preserve"> Examining environmental turbulence intensity: A strategic agility and innovativeness approach on firm performance in environmental turbulence situations. </w:t>
      </w:r>
      <w:proofErr w:type="gramStart"/>
      <w:r w:rsidRPr="00AC72DE">
        <w:rPr>
          <w:rFonts w:ascii="Times New Roman" w:hAnsi="Times New Roman" w:cs="Times New Roman"/>
          <w:color w:val="000000"/>
          <w:sz w:val="24"/>
          <w:szCs w:val="24"/>
          <w:lang w:bidi="hi-IN"/>
        </w:rPr>
        <w:t>Sustainability, 15(6), 5364.</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Aslam</w:t>
      </w:r>
      <w:proofErr w:type="spellEnd"/>
      <w:r w:rsidRPr="00AC72DE">
        <w:rPr>
          <w:rFonts w:ascii="Times New Roman" w:hAnsi="Times New Roman" w:cs="Times New Roman"/>
          <w:color w:val="000000"/>
          <w:sz w:val="24"/>
          <w:szCs w:val="24"/>
          <w:lang w:bidi="hi-IN"/>
        </w:rPr>
        <w:t xml:space="preserve">, H., </w:t>
      </w:r>
      <w:proofErr w:type="spellStart"/>
      <w:r w:rsidRPr="00AC72DE">
        <w:rPr>
          <w:rFonts w:ascii="Times New Roman" w:hAnsi="Times New Roman" w:cs="Times New Roman"/>
          <w:color w:val="000000"/>
          <w:sz w:val="24"/>
          <w:szCs w:val="24"/>
          <w:lang w:bidi="hi-IN"/>
        </w:rPr>
        <w:t>Blome</w:t>
      </w:r>
      <w:proofErr w:type="spellEnd"/>
      <w:r w:rsidRPr="00AC72DE">
        <w:rPr>
          <w:rFonts w:ascii="Times New Roman" w:hAnsi="Times New Roman" w:cs="Times New Roman"/>
          <w:color w:val="000000"/>
          <w:sz w:val="24"/>
          <w:szCs w:val="24"/>
          <w:lang w:bidi="hi-IN"/>
        </w:rPr>
        <w:t xml:space="preserve">, C., Roscoe, S., &amp; </w:t>
      </w:r>
      <w:proofErr w:type="spellStart"/>
      <w:r w:rsidRPr="00AC72DE">
        <w:rPr>
          <w:rFonts w:ascii="Times New Roman" w:hAnsi="Times New Roman" w:cs="Times New Roman"/>
          <w:color w:val="000000"/>
          <w:sz w:val="24"/>
          <w:szCs w:val="24"/>
          <w:lang w:bidi="hi-IN"/>
        </w:rPr>
        <w:t>Azhar</w:t>
      </w:r>
      <w:proofErr w:type="spellEnd"/>
      <w:r w:rsidRPr="00AC72DE">
        <w:rPr>
          <w:rFonts w:ascii="Times New Roman" w:hAnsi="Times New Roman" w:cs="Times New Roman"/>
          <w:color w:val="000000"/>
          <w:sz w:val="24"/>
          <w:szCs w:val="24"/>
          <w:lang w:bidi="hi-IN"/>
        </w:rPr>
        <w:t>, T. M. (2018).</w:t>
      </w:r>
      <w:proofErr w:type="gramEnd"/>
      <w:r w:rsidRPr="00AC72DE">
        <w:rPr>
          <w:rFonts w:ascii="Times New Roman" w:hAnsi="Times New Roman" w:cs="Times New Roman"/>
          <w:color w:val="000000"/>
          <w:sz w:val="24"/>
          <w:szCs w:val="24"/>
          <w:lang w:bidi="hi-IN"/>
        </w:rPr>
        <w:t xml:space="preserve"> Dynamic supply chain capabilities: How market sensing, supply chain agility and adaptability affect supply chain ambidexterity. International Journal of Operations &amp; Production Management, 38(12), 2266-2285.</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Bag, S., Gupta, S. and </w:t>
      </w:r>
      <w:proofErr w:type="spellStart"/>
      <w:r w:rsidRPr="00AC72DE">
        <w:rPr>
          <w:rFonts w:ascii="Times New Roman" w:hAnsi="Times New Roman" w:cs="Times New Roman"/>
          <w:color w:val="000000"/>
          <w:sz w:val="24"/>
          <w:szCs w:val="24"/>
          <w:lang w:bidi="hi-IN"/>
        </w:rPr>
        <w:t>Foropon</w:t>
      </w:r>
      <w:proofErr w:type="spellEnd"/>
      <w:r w:rsidRPr="00AC72DE">
        <w:rPr>
          <w:rFonts w:ascii="Times New Roman" w:hAnsi="Times New Roman" w:cs="Times New Roman"/>
          <w:color w:val="000000"/>
          <w:sz w:val="24"/>
          <w:szCs w:val="24"/>
          <w:lang w:bidi="hi-IN"/>
        </w:rPr>
        <w:t xml:space="preserve">, C. (2019), “Examining the role of dynamic remanufacturing capability on supply chain resilience in circular economy”, Management Decision, Vol. 57 No. 4, pp. 863-885, </w:t>
      </w:r>
      <w:proofErr w:type="spellStart"/>
      <w:r w:rsidRPr="00AC72DE">
        <w:rPr>
          <w:rFonts w:ascii="Times New Roman" w:hAnsi="Times New Roman" w:cs="Times New Roman"/>
          <w:color w:val="000000"/>
          <w:sz w:val="24"/>
          <w:szCs w:val="24"/>
          <w:lang w:bidi="hi-IN"/>
        </w:rPr>
        <w:t>doi</w:t>
      </w:r>
      <w:proofErr w:type="spellEnd"/>
      <w:r w:rsidRPr="00AC72DE">
        <w:rPr>
          <w:rFonts w:ascii="Times New Roman" w:hAnsi="Times New Roman" w:cs="Times New Roman"/>
          <w:color w:val="000000"/>
          <w:sz w:val="24"/>
          <w:szCs w:val="24"/>
          <w:lang w:bidi="hi-IN"/>
        </w:rPr>
        <w:t xml:space="preserve">: 10.1108/MD-07-2018-0724.  </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Bahrami</w:t>
      </w:r>
      <w:proofErr w:type="spellEnd"/>
      <w:r w:rsidRPr="00AC72DE">
        <w:rPr>
          <w:rFonts w:ascii="Times New Roman" w:hAnsi="Times New Roman" w:cs="Times New Roman"/>
          <w:color w:val="000000"/>
          <w:sz w:val="24"/>
          <w:szCs w:val="24"/>
          <w:lang w:bidi="hi-IN"/>
        </w:rPr>
        <w:t xml:space="preserve">, Mohammad Amin, Mohammad Mehdi </w:t>
      </w:r>
      <w:proofErr w:type="spellStart"/>
      <w:r w:rsidRPr="00AC72DE">
        <w:rPr>
          <w:rFonts w:ascii="Times New Roman" w:hAnsi="Times New Roman" w:cs="Times New Roman"/>
          <w:color w:val="000000"/>
          <w:sz w:val="24"/>
          <w:szCs w:val="24"/>
          <w:lang w:bidi="hi-IN"/>
        </w:rPr>
        <w:t>Kiani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Raziye</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Montazeralfaraj</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Hossein</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Fallah</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Zadeh</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Morteza</w:t>
      </w:r>
      <w:proofErr w:type="spellEnd"/>
      <w:r w:rsidRPr="00AC72DE">
        <w:rPr>
          <w:rFonts w:ascii="Times New Roman" w:hAnsi="Times New Roman" w:cs="Times New Roman"/>
          <w:color w:val="000000"/>
          <w:sz w:val="24"/>
          <w:szCs w:val="24"/>
          <w:lang w:bidi="hi-IN"/>
        </w:rPr>
        <w:t xml:space="preserve"> Mohammad </w:t>
      </w:r>
      <w:proofErr w:type="spellStart"/>
      <w:r w:rsidRPr="00AC72DE">
        <w:rPr>
          <w:rFonts w:ascii="Times New Roman" w:hAnsi="Times New Roman" w:cs="Times New Roman"/>
          <w:color w:val="000000"/>
          <w:sz w:val="24"/>
          <w:szCs w:val="24"/>
          <w:lang w:bidi="hi-IN"/>
        </w:rPr>
        <w:t>Zadeh</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“The Mediating Role of Organizational Learning in the Relationship of Organizational Intelligence and Organizational Agility.”</w:t>
      </w:r>
      <w:proofErr w:type="gram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Osong</w:t>
      </w:r>
      <w:proofErr w:type="spellEnd"/>
      <w:r w:rsidRPr="00AC72DE">
        <w:rPr>
          <w:rFonts w:ascii="Times New Roman" w:hAnsi="Times New Roman" w:cs="Times New Roman"/>
          <w:color w:val="000000"/>
          <w:sz w:val="24"/>
          <w:szCs w:val="24"/>
          <w:lang w:bidi="hi-IN"/>
        </w:rPr>
        <w:t xml:space="preserve"> Public Health and Research Perspectives 7, no. 3 (June 2016): 190–96. </w:t>
      </w:r>
      <w:hyperlink r:id="rId7" w:history="1">
        <w:r w:rsidRPr="00AC72DE">
          <w:rPr>
            <w:rFonts w:ascii="Times New Roman" w:hAnsi="Times New Roman" w:cs="Times New Roman"/>
            <w:color w:val="000000"/>
            <w:sz w:val="24"/>
            <w:szCs w:val="24"/>
            <w:lang w:bidi="hi-IN"/>
          </w:rPr>
          <w:t>https://doi.org/10.1016/j.phrp.2016.04.007</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Barney, J. (1991). Firm resources and sustained competitive advantage. </w:t>
      </w:r>
      <w:proofErr w:type="gramStart"/>
      <w:r w:rsidRPr="00AC72DE">
        <w:rPr>
          <w:rFonts w:ascii="Times New Roman" w:hAnsi="Times New Roman" w:cs="Times New Roman"/>
          <w:color w:val="000000"/>
          <w:sz w:val="24"/>
          <w:szCs w:val="24"/>
          <w:lang w:bidi="hi-IN"/>
        </w:rPr>
        <w:t>Journal of management, 17(1), 99-120.</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Battisti</w:t>
      </w:r>
      <w:proofErr w:type="spellEnd"/>
      <w:r w:rsidRPr="00AC72DE">
        <w:rPr>
          <w:rFonts w:ascii="Times New Roman" w:hAnsi="Times New Roman" w:cs="Times New Roman"/>
          <w:color w:val="000000"/>
          <w:sz w:val="24"/>
          <w:szCs w:val="24"/>
          <w:lang w:bidi="hi-IN"/>
        </w:rPr>
        <w:t xml:space="preserve">, M., &amp; </w:t>
      </w:r>
      <w:proofErr w:type="spellStart"/>
      <w:r w:rsidRPr="00AC72DE">
        <w:rPr>
          <w:rFonts w:ascii="Times New Roman" w:hAnsi="Times New Roman" w:cs="Times New Roman"/>
          <w:color w:val="000000"/>
          <w:sz w:val="24"/>
          <w:szCs w:val="24"/>
          <w:lang w:bidi="hi-IN"/>
        </w:rPr>
        <w:t>Deakins</w:t>
      </w:r>
      <w:proofErr w:type="spellEnd"/>
      <w:r w:rsidRPr="00AC72DE">
        <w:rPr>
          <w:rFonts w:ascii="Times New Roman" w:hAnsi="Times New Roman" w:cs="Times New Roman"/>
          <w:color w:val="000000"/>
          <w:sz w:val="24"/>
          <w:szCs w:val="24"/>
          <w:lang w:bidi="hi-IN"/>
        </w:rPr>
        <w:t>, D. (2017).</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The relationship between dynamic capabilities, the firm’s resource base and performance in a post-disaster environment.</w:t>
      </w:r>
      <w:proofErr w:type="gramEnd"/>
      <w:r w:rsidRPr="00AC72DE">
        <w:rPr>
          <w:rFonts w:ascii="Times New Roman" w:hAnsi="Times New Roman" w:cs="Times New Roman"/>
          <w:color w:val="000000"/>
          <w:sz w:val="24"/>
          <w:szCs w:val="24"/>
          <w:lang w:bidi="hi-IN"/>
        </w:rPr>
        <w:t> International Small Business Journal, 35(1), 78-98.</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BA6210" w:rsidRPr="00BA6210" w:rsidRDefault="00D27CBE" w:rsidP="00266A9F">
      <w:pPr>
        <w:pStyle w:val="Bibliography"/>
        <w:spacing w:line="240" w:lineRule="auto"/>
        <w:rPr>
          <w:rFonts w:ascii="Times New Roman" w:hAnsi="Times New Roman" w:cs="Times New Roman"/>
          <w:sz w:val="24"/>
        </w:rPr>
      </w:pPr>
      <w:r w:rsidRPr="00AC72DE">
        <w:rPr>
          <w:rFonts w:cs="Times New Roman"/>
          <w:color w:val="000000"/>
          <w:lang w:bidi="hi-IN"/>
        </w:rPr>
        <w:fldChar w:fldCharType="begin"/>
      </w:r>
      <w:r w:rsidRPr="00AC72DE">
        <w:rPr>
          <w:rFonts w:cs="Times New Roman"/>
          <w:color w:val="000000"/>
          <w:lang w:bidi="hi-IN"/>
        </w:rPr>
        <w:instrText xml:space="preserve"> ADDIN ZOTERO_BIBL {"uncited":[],"omitted":[],"custom":[]} CSL_BIBLIOGRAPHY </w:instrText>
      </w:r>
      <w:r w:rsidRPr="00AC72DE">
        <w:rPr>
          <w:rFonts w:cs="Times New Roman"/>
          <w:color w:val="000000"/>
          <w:lang w:bidi="hi-IN"/>
        </w:rPr>
        <w:fldChar w:fldCharType="separate"/>
      </w:r>
      <w:r w:rsidR="00BA6210" w:rsidRPr="00BA6210">
        <w:rPr>
          <w:rFonts w:ascii="Times New Roman" w:hAnsi="Times New Roman" w:cs="Times New Roman"/>
          <w:sz w:val="24"/>
        </w:rPr>
        <w:t xml:space="preserve">Benner, M. J. (2003). </w:t>
      </w:r>
      <w:r w:rsidR="00BA6210" w:rsidRPr="00BA6210">
        <w:rPr>
          <w:rFonts w:ascii="Times New Roman" w:hAnsi="Times New Roman" w:cs="Times New Roman"/>
          <w:i/>
          <w:iCs/>
          <w:sz w:val="24"/>
        </w:rPr>
        <w:t>Exploitation, Exploration, and Process Management: The Productivity Dilemma Revisited</w:t>
      </w:r>
      <w:r w:rsidR="00BA6210" w:rsidRPr="00BA6210">
        <w:rPr>
          <w:rFonts w:ascii="Times New Roman" w:hAnsi="Times New Roman" w:cs="Times New Roman"/>
          <w:sz w:val="24"/>
        </w:rPr>
        <w:t>.</w:t>
      </w: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fldChar w:fldCharType="end"/>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Bharadwaj</w:t>
      </w:r>
      <w:proofErr w:type="spellEnd"/>
      <w:r w:rsidRPr="00AC72DE">
        <w:rPr>
          <w:rFonts w:ascii="Times New Roman" w:hAnsi="Times New Roman" w:cs="Times New Roman"/>
          <w:color w:val="000000"/>
          <w:sz w:val="24"/>
          <w:szCs w:val="24"/>
          <w:lang w:bidi="hi-IN"/>
        </w:rPr>
        <w:t xml:space="preserve">, A., El </w:t>
      </w:r>
      <w:proofErr w:type="spellStart"/>
      <w:r w:rsidRPr="00AC72DE">
        <w:rPr>
          <w:rFonts w:ascii="Times New Roman" w:hAnsi="Times New Roman" w:cs="Times New Roman"/>
          <w:color w:val="000000"/>
          <w:sz w:val="24"/>
          <w:szCs w:val="24"/>
          <w:lang w:bidi="hi-IN"/>
        </w:rPr>
        <w:t>Sawy</w:t>
      </w:r>
      <w:proofErr w:type="spellEnd"/>
      <w:r w:rsidRPr="00AC72DE">
        <w:rPr>
          <w:rFonts w:ascii="Times New Roman" w:hAnsi="Times New Roman" w:cs="Times New Roman"/>
          <w:color w:val="000000"/>
          <w:sz w:val="24"/>
          <w:szCs w:val="24"/>
          <w:lang w:bidi="hi-IN"/>
        </w:rPr>
        <w:t xml:space="preserve">, O. A., </w:t>
      </w:r>
      <w:proofErr w:type="spellStart"/>
      <w:r w:rsidRPr="00AC72DE">
        <w:rPr>
          <w:rFonts w:ascii="Times New Roman" w:hAnsi="Times New Roman" w:cs="Times New Roman"/>
          <w:color w:val="000000"/>
          <w:sz w:val="24"/>
          <w:szCs w:val="24"/>
          <w:lang w:bidi="hi-IN"/>
        </w:rPr>
        <w:t>Pavlou</w:t>
      </w:r>
      <w:proofErr w:type="spellEnd"/>
      <w:r w:rsidRPr="00AC72DE">
        <w:rPr>
          <w:rFonts w:ascii="Times New Roman" w:hAnsi="Times New Roman" w:cs="Times New Roman"/>
          <w:color w:val="000000"/>
          <w:sz w:val="24"/>
          <w:szCs w:val="24"/>
          <w:lang w:bidi="hi-IN"/>
        </w:rPr>
        <w:t xml:space="preserve">, P. A., &amp; </w:t>
      </w:r>
      <w:proofErr w:type="spellStart"/>
      <w:r w:rsidRPr="00AC72DE">
        <w:rPr>
          <w:rFonts w:ascii="Times New Roman" w:hAnsi="Times New Roman" w:cs="Times New Roman"/>
          <w:color w:val="000000"/>
          <w:sz w:val="24"/>
          <w:szCs w:val="24"/>
          <w:lang w:bidi="hi-IN"/>
        </w:rPr>
        <w:t>Venkatraman</w:t>
      </w:r>
      <w:proofErr w:type="spellEnd"/>
      <w:r w:rsidRPr="00AC72DE">
        <w:rPr>
          <w:rFonts w:ascii="Times New Roman" w:hAnsi="Times New Roman" w:cs="Times New Roman"/>
          <w:color w:val="000000"/>
          <w:sz w:val="24"/>
          <w:szCs w:val="24"/>
          <w:lang w:bidi="hi-IN"/>
        </w:rPr>
        <w:t>, N. (2013).</w:t>
      </w:r>
      <w:proofErr w:type="gramEnd"/>
      <w:r w:rsidRPr="00AC72DE">
        <w:rPr>
          <w:rFonts w:ascii="Times New Roman" w:hAnsi="Times New Roman" w:cs="Times New Roman"/>
          <w:color w:val="000000"/>
          <w:sz w:val="24"/>
          <w:szCs w:val="24"/>
          <w:lang w:bidi="hi-IN"/>
        </w:rPr>
        <w:t xml:space="preserve"> Digital business strategy: Toward a next generation of insights. MIS Quarterly, 37(2), 471–482.</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lastRenderedPageBreak/>
        <w:t>Blome</w:t>
      </w:r>
      <w:proofErr w:type="spellEnd"/>
      <w:r w:rsidRPr="00AC72DE">
        <w:rPr>
          <w:rFonts w:ascii="Times New Roman" w:hAnsi="Times New Roman" w:cs="Times New Roman"/>
          <w:color w:val="000000"/>
          <w:sz w:val="24"/>
          <w:szCs w:val="24"/>
          <w:lang w:bidi="hi-IN"/>
        </w:rPr>
        <w:t xml:space="preserve">, C., </w:t>
      </w:r>
      <w:proofErr w:type="spellStart"/>
      <w:r w:rsidRPr="00AC72DE">
        <w:rPr>
          <w:rFonts w:ascii="Times New Roman" w:hAnsi="Times New Roman" w:cs="Times New Roman"/>
          <w:color w:val="000000"/>
          <w:sz w:val="24"/>
          <w:szCs w:val="24"/>
          <w:lang w:bidi="hi-IN"/>
        </w:rPr>
        <w:t>Schoenherr</w:t>
      </w:r>
      <w:proofErr w:type="spellEnd"/>
      <w:r w:rsidRPr="00AC72DE">
        <w:rPr>
          <w:rFonts w:ascii="Times New Roman" w:hAnsi="Times New Roman" w:cs="Times New Roman"/>
          <w:color w:val="000000"/>
          <w:sz w:val="24"/>
          <w:szCs w:val="24"/>
          <w:lang w:bidi="hi-IN"/>
        </w:rPr>
        <w:t xml:space="preserve">, T., &amp; </w:t>
      </w:r>
      <w:proofErr w:type="spellStart"/>
      <w:r w:rsidRPr="00AC72DE">
        <w:rPr>
          <w:rFonts w:ascii="Times New Roman" w:hAnsi="Times New Roman" w:cs="Times New Roman"/>
          <w:color w:val="000000"/>
          <w:sz w:val="24"/>
          <w:szCs w:val="24"/>
          <w:lang w:bidi="hi-IN"/>
        </w:rPr>
        <w:t>Rexhausen</w:t>
      </w:r>
      <w:proofErr w:type="spellEnd"/>
      <w:r w:rsidRPr="00AC72DE">
        <w:rPr>
          <w:rFonts w:ascii="Times New Roman" w:hAnsi="Times New Roman" w:cs="Times New Roman"/>
          <w:color w:val="000000"/>
          <w:sz w:val="24"/>
          <w:szCs w:val="24"/>
          <w:lang w:bidi="hi-IN"/>
        </w:rPr>
        <w:t>, D. (2013).</w:t>
      </w:r>
      <w:proofErr w:type="gramEnd"/>
      <w:r w:rsidRPr="00AC72DE">
        <w:rPr>
          <w:rFonts w:ascii="Times New Roman" w:hAnsi="Times New Roman" w:cs="Times New Roman"/>
          <w:color w:val="000000"/>
          <w:sz w:val="24"/>
          <w:szCs w:val="24"/>
          <w:lang w:bidi="hi-IN"/>
        </w:rPr>
        <w:t xml:space="preserve"> </w:t>
      </w:r>
      <w:r w:rsidRPr="00AC72DE">
        <w:rPr>
          <w:i/>
          <w:iCs/>
          <w:color w:val="000000"/>
          <w:lang w:bidi="hi-IN"/>
        </w:rPr>
        <w:t>Antecedents and enablers of supply chain agility and its effect on performance: A dynamic capabilities perspective</w:t>
      </w:r>
      <w:r w:rsidRPr="00AC72DE">
        <w:rPr>
          <w:rFonts w:ascii="Times New Roman" w:hAnsi="Times New Roman" w:cs="Times New Roman"/>
          <w:color w:val="000000"/>
          <w:sz w:val="24"/>
          <w:szCs w:val="24"/>
          <w:lang w:bidi="hi-IN"/>
        </w:rPr>
        <w:t xml:space="preserve">. International Journal of Production Research, 51(4), 1295–1318. </w:t>
      </w:r>
      <w:hyperlink r:id="rId8" w:history="1">
        <w:r w:rsidRPr="00AC72DE">
          <w:rPr>
            <w:color w:val="000000"/>
            <w:lang w:bidi="hi-IN"/>
          </w:rPr>
          <w:t>https://doi.org/10.1080/00207543.2012.728011</w:t>
        </w:r>
      </w:hyperlink>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Bughin</w:t>
      </w:r>
      <w:proofErr w:type="spellEnd"/>
      <w:r w:rsidRPr="00AC72DE">
        <w:rPr>
          <w:rFonts w:ascii="Times New Roman" w:hAnsi="Times New Roman" w:cs="Times New Roman"/>
          <w:color w:val="000000"/>
          <w:sz w:val="24"/>
          <w:szCs w:val="24"/>
          <w:lang w:bidi="hi-IN"/>
        </w:rPr>
        <w:t xml:space="preserve">, Jacques. “Are You Resilient? Machine Learning Prediction of Corporate Rebound out of the Covid‐19 Pandemic.” Managerial and Decision Economics 44, no. 3 (April 2023): 1547–64. </w:t>
      </w:r>
      <w:hyperlink r:id="rId9" w:history="1">
        <w:r w:rsidRPr="00AC72DE">
          <w:rPr>
            <w:rFonts w:ascii="Times New Roman" w:hAnsi="Times New Roman" w:cs="Times New Roman"/>
            <w:color w:val="000000"/>
            <w:sz w:val="24"/>
            <w:szCs w:val="24"/>
            <w:lang w:bidi="hi-IN"/>
          </w:rPr>
          <w:t>https://doi.org/10.1002/mde.3764</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Burnard</w:t>
      </w:r>
      <w:proofErr w:type="spellEnd"/>
      <w:r w:rsidRPr="00AC72DE">
        <w:rPr>
          <w:rFonts w:ascii="Times New Roman" w:hAnsi="Times New Roman" w:cs="Times New Roman"/>
          <w:color w:val="000000"/>
          <w:sz w:val="24"/>
          <w:szCs w:val="24"/>
          <w:lang w:bidi="hi-IN"/>
        </w:rPr>
        <w:t xml:space="preserve">, Kevin, and Ran </w:t>
      </w:r>
      <w:proofErr w:type="spellStart"/>
      <w:r w:rsidRPr="00AC72DE">
        <w:rPr>
          <w:rFonts w:ascii="Times New Roman" w:hAnsi="Times New Roman" w:cs="Times New Roman"/>
          <w:color w:val="000000"/>
          <w:sz w:val="24"/>
          <w:szCs w:val="24"/>
          <w:lang w:bidi="hi-IN"/>
        </w:rPr>
        <w:t>Bhamra</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“Organisational Resilience: Development of a Conceptual Framework for Organisational Responses.” International Journal of Production Research 49, no. 18 (September 15, 2011): 5581–99. </w:t>
      </w:r>
      <w:hyperlink r:id="rId10" w:history="1">
        <w:r w:rsidRPr="00AC72DE">
          <w:rPr>
            <w:rFonts w:ascii="Times New Roman" w:hAnsi="Times New Roman" w:cs="Times New Roman"/>
            <w:color w:val="000000"/>
            <w:sz w:val="24"/>
            <w:szCs w:val="24"/>
            <w:lang w:bidi="hi-IN"/>
          </w:rPr>
          <w:t>https://doi.org/10.1080/00207543.2011.563827</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Bustinza</w:t>
      </w:r>
      <w:proofErr w:type="spellEnd"/>
      <w:r w:rsidRPr="00AC72DE">
        <w:rPr>
          <w:rFonts w:ascii="Times New Roman" w:hAnsi="Times New Roman" w:cs="Times New Roman"/>
          <w:color w:val="000000"/>
          <w:sz w:val="24"/>
          <w:szCs w:val="24"/>
          <w:lang w:bidi="hi-IN"/>
        </w:rPr>
        <w:t xml:space="preserve">, Oscar F., Emanuel Gomes, </w:t>
      </w:r>
      <w:proofErr w:type="spellStart"/>
      <w:r w:rsidRPr="00AC72DE">
        <w:rPr>
          <w:rFonts w:ascii="Times New Roman" w:hAnsi="Times New Roman" w:cs="Times New Roman"/>
          <w:color w:val="000000"/>
          <w:sz w:val="24"/>
          <w:szCs w:val="24"/>
          <w:lang w:bidi="hi-IN"/>
        </w:rPr>
        <w:t>Ferran</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Vendrell‐Herrero</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Shlomo</w:t>
      </w:r>
      <w:proofErr w:type="spellEnd"/>
      <w:r w:rsidRPr="00AC72DE">
        <w:rPr>
          <w:rFonts w:ascii="Times New Roman" w:hAnsi="Times New Roman" w:cs="Times New Roman"/>
          <w:color w:val="000000"/>
          <w:sz w:val="24"/>
          <w:szCs w:val="24"/>
          <w:lang w:bidi="hi-IN"/>
        </w:rPr>
        <w:t xml:space="preserve"> Y. </w:t>
      </w:r>
      <w:proofErr w:type="spellStart"/>
      <w:r w:rsidRPr="00AC72DE">
        <w:rPr>
          <w:rFonts w:ascii="Times New Roman" w:hAnsi="Times New Roman" w:cs="Times New Roman"/>
          <w:color w:val="000000"/>
          <w:sz w:val="24"/>
          <w:szCs w:val="24"/>
          <w:lang w:bidi="hi-IN"/>
        </w:rPr>
        <w:t>Tarba</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“An Organizational Change Framework for Digital </w:t>
      </w:r>
      <w:proofErr w:type="spellStart"/>
      <w:r w:rsidRPr="00AC72DE">
        <w:rPr>
          <w:rFonts w:ascii="Times New Roman" w:hAnsi="Times New Roman" w:cs="Times New Roman"/>
          <w:color w:val="000000"/>
          <w:sz w:val="24"/>
          <w:szCs w:val="24"/>
          <w:lang w:bidi="hi-IN"/>
        </w:rPr>
        <w:t>Servitization</w:t>
      </w:r>
      <w:proofErr w:type="spellEnd"/>
      <w:r w:rsidRPr="00AC72DE">
        <w:rPr>
          <w:rFonts w:ascii="Times New Roman" w:hAnsi="Times New Roman" w:cs="Times New Roman"/>
          <w:color w:val="000000"/>
          <w:sz w:val="24"/>
          <w:szCs w:val="24"/>
          <w:lang w:bidi="hi-IN"/>
        </w:rPr>
        <w:t xml:space="preserve">: Evidence from the Veneto Region.” Strategic Change 27, no. 2 (March 2018): 111–19. </w:t>
      </w:r>
      <w:hyperlink r:id="rId11" w:history="1">
        <w:r w:rsidRPr="00AC72DE">
          <w:rPr>
            <w:rFonts w:ascii="Times New Roman" w:hAnsi="Times New Roman" w:cs="Times New Roman"/>
            <w:color w:val="000000"/>
            <w:sz w:val="24"/>
            <w:szCs w:val="24"/>
            <w:lang w:bidi="hi-IN"/>
          </w:rPr>
          <w:t>https://doi.org/10.1002/jsc.2186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Cennamo</w:t>
      </w:r>
      <w:proofErr w:type="spellEnd"/>
      <w:r w:rsidRPr="00AC72DE">
        <w:rPr>
          <w:rFonts w:ascii="Times New Roman" w:hAnsi="Times New Roman" w:cs="Times New Roman"/>
          <w:color w:val="000000"/>
          <w:sz w:val="24"/>
          <w:szCs w:val="24"/>
          <w:lang w:bidi="hi-IN"/>
        </w:rPr>
        <w:t xml:space="preserve">, C., </w:t>
      </w:r>
      <w:proofErr w:type="spellStart"/>
      <w:r w:rsidRPr="00AC72DE">
        <w:rPr>
          <w:rFonts w:ascii="Times New Roman" w:hAnsi="Times New Roman" w:cs="Times New Roman"/>
          <w:color w:val="000000"/>
          <w:sz w:val="24"/>
          <w:szCs w:val="24"/>
          <w:lang w:bidi="hi-IN"/>
        </w:rPr>
        <w:t>Kretschmer</w:t>
      </w:r>
      <w:proofErr w:type="spellEnd"/>
      <w:r w:rsidRPr="00AC72DE">
        <w:rPr>
          <w:rFonts w:ascii="Times New Roman" w:hAnsi="Times New Roman" w:cs="Times New Roman"/>
          <w:color w:val="000000"/>
          <w:sz w:val="24"/>
          <w:szCs w:val="24"/>
          <w:lang w:bidi="hi-IN"/>
        </w:rPr>
        <w:t xml:space="preserve">, T., </w:t>
      </w:r>
      <w:proofErr w:type="spellStart"/>
      <w:r w:rsidRPr="00AC72DE">
        <w:rPr>
          <w:rFonts w:ascii="Times New Roman" w:hAnsi="Times New Roman" w:cs="Times New Roman"/>
          <w:color w:val="000000"/>
          <w:sz w:val="24"/>
          <w:szCs w:val="24"/>
          <w:lang w:bidi="hi-IN"/>
        </w:rPr>
        <w:t>Constantinides</w:t>
      </w:r>
      <w:proofErr w:type="spellEnd"/>
      <w:r w:rsidRPr="00AC72DE">
        <w:rPr>
          <w:rFonts w:ascii="Times New Roman" w:hAnsi="Times New Roman" w:cs="Times New Roman"/>
          <w:color w:val="000000"/>
          <w:sz w:val="24"/>
          <w:szCs w:val="24"/>
          <w:lang w:bidi="hi-IN"/>
        </w:rPr>
        <w:t xml:space="preserve">, P., </w:t>
      </w:r>
      <w:proofErr w:type="spellStart"/>
      <w:r w:rsidRPr="00AC72DE">
        <w:rPr>
          <w:rFonts w:ascii="Times New Roman" w:hAnsi="Times New Roman" w:cs="Times New Roman"/>
          <w:color w:val="000000"/>
          <w:sz w:val="24"/>
          <w:szCs w:val="24"/>
          <w:lang w:bidi="hi-IN"/>
        </w:rPr>
        <w:t>Alaimo</w:t>
      </w:r>
      <w:proofErr w:type="spellEnd"/>
      <w:r w:rsidRPr="00AC72DE">
        <w:rPr>
          <w:rFonts w:ascii="Times New Roman" w:hAnsi="Times New Roman" w:cs="Times New Roman"/>
          <w:color w:val="000000"/>
          <w:sz w:val="24"/>
          <w:szCs w:val="24"/>
          <w:lang w:bidi="hi-IN"/>
        </w:rPr>
        <w:t xml:space="preserve">, C., &amp; </w:t>
      </w:r>
      <w:proofErr w:type="spellStart"/>
      <w:r w:rsidRPr="00AC72DE">
        <w:rPr>
          <w:rFonts w:ascii="Times New Roman" w:hAnsi="Times New Roman" w:cs="Times New Roman"/>
          <w:color w:val="000000"/>
          <w:sz w:val="24"/>
          <w:szCs w:val="24"/>
          <w:lang w:bidi="hi-IN"/>
        </w:rPr>
        <w:t>Santaló</w:t>
      </w:r>
      <w:proofErr w:type="spellEnd"/>
      <w:r w:rsidRPr="00AC72DE">
        <w:rPr>
          <w:rFonts w:ascii="Times New Roman" w:hAnsi="Times New Roman" w:cs="Times New Roman"/>
          <w:color w:val="000000"/>
          <w:sz w:val="24"/>
          <w:szCs w:val="24"/>
          <w:lang w:bidi="hi-IN"/>
        </w:rPr>
        <w:t>, J. (2023).</w:t>
      </w:r>
      <w:proofErr w:type="gramEnd"/>
      <w:r w:rsidRPr="00AC72DE">
        <w:rPr>
          <w:rFonts w:ascii="Times New Roman" w:hAnsi="Times New Roman" w:cs="Times New Roman"/>
          <w:color w:val="000000"/>
          <w:sz w:val="24"/>
          <w:szCs w:val="24"/>
          <w:lang w:bidi="hi-IN"/>
        </w:rPr>
        <w:t xml:space="preserve"> Digital platforms regulation: An innovation-centric view of the EU’s Digital Markets Act. Journal of European Competition Law &amp; Practice, 14(1), 44-51.</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Chen, D. Q., Preston, D. S., &amp; </w:t>
      </w:r>
      <w:proofErr w:type="spellStart"/>
      <w:r w:rsidRPr="00AC72DE">
        <w:rPr>
          <w:rFonts w:ascii="Times New Roman" w:hAnsi="Times New Roman" w:cs="Times New Roman"/>
          <w:color w:val="000000"/>
          <w:sz w:val="24"/>
          <w:szCs w:val="24"/>
          <w:lang w:bidi="hi-IN"/>
        </w:rPr>
        <w:t>Swink</w:t>
      </w:r>
      <w:proofErr w:type="spellEnd"/>
      <w:r w:rsidRPr="00AC72DE">
        <w:rPr>
          <w:rFonts w:ascii="Times New Roman" w:hAnsi="Times New Roman" w:cs="Times New Roman"/>
          <w:color w:val="000000"/>
          <w:sz w:val="24"/>
          <w:szCs w:val="24"/>
          <w:lang w:bidi="hi-IN"/>
        </w:rPr>
        <w:t>, M. (2015).</w:t>
      </w:r>
      <w:proofErr w:type="gramEnd"/>
      <w:r w:rsidRPr="00AC72DE">
        <w:rPr>
          <w:rFonts w:ascii="Times New Roman" w:hAnsi="Times New Roman" w:cs="Times New Roman"/>
          <w:color w:val="000000"/>
          <w:sz w:val="24"/>
          <w:szCs w:val="24"/>
          <w:lang w:bidi="hi-IN"/>
        </w:rPr>
        <w:t xml:space="preserve"> How the use of big data analytics affects value creation in supply chain management. Journal of Management Information Systems, 32(4), 4–39. </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d’Amboise, G. and </w:t>
      </w:r>
      <w:proofErr w:type="spellStart"/>
      <w:r w:rsidRPr="00AC72DE">
        <w:rPr>
          <w:rFonts w:ascii="Times New Roman" w:hAnsi="Times New Roman" w:cs="Times New Roman"/>
          <w:color w:val="000000"/>
          <w:sz w:val="24"/>
          <w:szCs w:val="24"/>
          <w:lang w:bidi="hi-IN"/>
        </w:rPr>
        <w:t>Muldowney</w:t>
      </w:r>
      <w:proofErr w:type="spellEnd"/>
      <w:r w:rsidRPr="00AC72DE">
        <w:rPr>
          <w:rFonts w:ascii="Times New Roman" w:hAnsi="Times New Roman" w:cs="Times New Roman"/>
          <w:color w:val="000000"/>
          <w:sz w:val="24"/>
          <w:szCs w:val="24"/>
          <w:lang w:bidi="hi-IN"/>
        </w:rPr>
        <w:t>, M. (1988), “</w:t>
      </w:r>
      <w:r>
        <w:rPr>
          <w:rFonts w:ascii="Times New Roman" w:hAnsi="Times New Roman" w:cs="Times New Roman"/>
          <w:color w:val="000000"/>
          <w:sz w:val="24"/>
          <w:szCs w:val="24"/>
          <w:lang w:bidi="hi-IN"/>
        </w:rPr>
        <w:t xml:space="preserve">Management </w:t>
      </w:r>
      <w:r w:rsidRPr="00AC72DE">
        <w:rPr>
          <w:rFonts w:ascii="Times New Roman" w:hAnsi="Times New Roman" w:cs="Times New Roman"/>
          <w:color w:val="000000"/>
          <w:sz w:val="24"/>
          <w:szCs w:val="24"/>
          <w:lang w:bidi="hi-IN"/>
        </w:rPr>
        <w:t>theory for small business: attempts and requirements”</w:t>
      </w:r>
      <w:r>
        <w:rPr>
          <w:rFonts w:ascii="Times New Roman" w:hAnsi="Times New Roman" w:cs="Times New Roman"/>
          <w:color w:val="000000"/>
          <w:sz w:val="24"/>
          <w:szCs w:val="24"/>
          <w:lang w:bidi="hi-IN"/>
        </w:rPr>
        <w:t xml:space="preserve">, </w:t>
      </w:r>
      <w:r w:rsidRPr="00AC72DE">
        <w:rPr>
          <w:rFonts w:ascii="Times New Roman" w:hAnsi="Times New Roman" w:cs="Times New Roman"/>
          <w:color w:val="000000"/>
          <w:sz w:val="24"/>
          <w:szCs w:val="24"/>
          <w:lang w:bidi="hi-IN"/>
        </w:rPr>
        <w:t>Academy of Managemen</w:t>
      </w:r>
      <w:r>
        <w:rPr>
          <w:rFonts w:ascii="Times New Roman" w:hAnsi="Times New Roman" w:cs="Times New Roman"/>
          <w:color w:val="000000"/>
          <w:sz w:val="24"/>
          <w:szCs w:val="24"/>
          <w:lang w:bidi="hi-IN"/>
        </w:rPr>
        <w:t xml:space="preserve">t Review, Academy of Management </w:t>
      </w:r>
      <w:r w:rsidRPr="00AC72DE">
        <w:rPr>
          <w:rFonts w:ascii="Times New Roman" w:hAnsi="Times New Roman" w:cs="Times New Roman"/>
          <w:color w:val="000000"/>
          <w:sz w:val="24"/>
          <w:szCs w:val="24"/>
          <w:lang w:bidi="hi-IN"/>
        </w:rPr>
        <w:t>Briarcliff Manor,</w:t>
      </w:r>
      <w:r>
        <w:rPr>
          <w:rFonts w:ascii="Times New Roman" w:hAnsi="Times New Roman" w:cs="Times New Roman"/>
          <w:color w:val="000000"/>
          <w:sz w:val="24"/>
          <w:szCs w:val="24"/>
          <w:lang w:bidi="hi-IN"/>
        </w:rPr>
        <w:t xml:space="preserve"> </w:t>
      </w:r>
      <w:r w:rsidRPr="00AC72DE">
        <w:rPr>
          <w:rFonts w:ascii="Times New Roman" w:hAnsi="Times New Roman" w:cs="Times New Roman"/>
          <w:color w:val="000000"/>
          <w:sz w:val="24"/>
          <w:szCs w:val="24"/>
          <w:lang w:bidi="hi-IN"/>
        </w:rPr>
        <w:t>NY 10510, Vol. 13 No. 2, pp. 226-240.</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Dey</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Prasanta</w:t>
      </w:r>
      <w:proofErr w:type="spellEnd"/>
      <w:r w:rsidRPr="00AC72DE">
        <w:rPr>
          <w:rFonts w:ascii="Times New Roman" w:hAnsi="Times New Roman" w:cs="Times New Roman"/>
          <w:color w:val="000000"/>
          <w:sz w:val="24"/>
          <w:szCs w:val="24"/>
          <w:lang w:bidi="hi-IN"/>
        </w:rPr>
        <w:t xml:space="preserve"> Kumar, </w:t>
      </w:r>
      <w:proofErr w:type="spellStart"/>
      <w:r w:rsidRPr="00AC72DE">
        <w:rPr>
          <w:rFonts w:ascii="Times New Roman" w:hAnsi="Times New Roman" w:cs="Times New Roman"/>
          <w:color w:val="000000"/>
          <w:sz w:val="24"/>
          <w:szCs w:val="24"/>
          <w:lang w:bidi="hi-IN"/>
        </w:rPr>
        <w:t>Soumyadeb</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Chowdhury</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Amelie</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Abadie</w:t>
      </w:r>
      <w:proofErr w:type="spellEnd"/>
      <w:r w:rsidRPr="00AC72DE">
        <w:rPr>
          <w:rFonts w:ascii="Times New Roman" w:hAnsi="Times New Roman" w:cs="Times New Roman"/>
          <w:color w:val="000000"/>
          <w:sz w:val="24"/>
          <w:szCs w:val="24"/>
          <w:lang w:bidi="hi-IN"/>
        </w:rPr>
        <w:t xml:space="preserve">, Emilia Vann </w:t>
      </w:r>
      <w:proofErr w:type="spellStart"/>
      <w:r w:rsidRPr="00AC72DE">
        <w:rPr>
          <w:rFonts w:ascii="Times New Roman" w:hAnsi="Times New Roman" w:cs="Times New Roman"/>
          <w:color w:val="000000"/>
          <w:sz w:val="24"/>
          <w:szCs w:val="24"/>
          <w:lang w:bidi="hi-IN"/>
        </w:rPr>
        <w:t>Yaroson</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Sobhan</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Sarkar</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“Artificial Intelligence-Driven Supply Chain Resilience in Vietnamese Manufacturing Small- and Medium-Sized Enterprises.”</w:t>
      </w:r>
      <w:proofErr w:type="gramEnd"/>
      <w:r w:rsidRPr="00AC72DE">
        <w:rPr>
          <w:rFonts w:ascii="Times New Roman" w:hAnsi="Times New Roman" w:cs="Times New Roman"/>
          <w:color w:val="000000"/>
          <w:sz w:val="24"/>
          <w:szCs w:val="24"/>
          <w:lang w:bidi="hi-IN"/>
        </w:rPr>
        <w:t xml:space="preserve"> International Journal of Production Research 62, no. 15 (August 2, 2024): 5417–56. </w:t>
      </w:r>
      <w:hyperlink r:id="rId12" w:history="1">
        <w:r w:rsidRPr="00AC72DE">
          <w:rPr>
            <w:rFonts w:ascii="Times New Roman" w:hAnsi="Times New Roman" w:cs="Times New Roman"/>
            <w:color w:val="000000"/>
            <w:sz w:val="24"/>
            <w:szCs w:val="24"/>
            <w:lang w:bidi="hi-IN"/>
          </w:rPr>
          <w:t>https://doi.org/10.1080/00207543.2023.2179859</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Day, G. S., &amp; </w:t>
      </w:r>
      <w:proofErr w:type="spellStart"/>
      <w:r w:rsidRPr="00AC72DE">
        <w:rPr>
          <w:rFonts w:ascii="Times New Roman" w:hAnsi="Times New Roman" w:cs="Times New Roman"/>
          <w:color w:val="000000"/>
          <w:sz w:val="24"/>
          <w:szCs w:val="24"/>
          <w:lang w:bidi="hi-IN"/>
        </w:rPr>
        <w:t>Schoemaker</w:t>
      </w:r>
      <w:proofErr w:type="spellEnd"/>
      <w:r w:rsidRPr="00AC72DE">
        <w:rPr>
          <w:rFonts w:ascii="Times New Roman" w:hAnsi="Times New Roman" w:cs="Times New Roman"/>
          <w:color w:val="000000"/>
          <w:sz w:val="24"/>
          <w:szCs w:val="24"/>
          <w:lang w:bidi="hi-IN"/>
        </w:rPr>
        <w:t>, P. J. (2019).</w:t>
      </w:r>
      <w:proofErr w:type="gramEnd"/>
      <w:r w:rsidRPr="00AC72DE">
        <w:rPr>
          <w:rFonts w:ascii="Times New Roman" w:hAnsi="Times New Roman" w:cs="Times New Roman"/>
          <w:color w:val="000000"/>
          <w:sz w:val="24"/>
          <w:szCs w:val="24"/>
          <w:lang w:bidi="hi-IN"/>
        </w:rPr>
        <w:t xml:space="preserve"> See sooner, act faster: How vigilant leaders thrive in an era of digital turbulence. </w:t>
      </w:r>
      <w:proofErr w:type="spellStart"/>
      <w:r w:rsidRPr="00AC72DE">
        <w:rPr>
          <w:rFonts w:ascii="Times New Roman" w:hAnsi="Times New Roman" w:cs="Times New Roman"/>
          <w:color w:val="000000"/>
          <w:sz w:val="24"/>
          <w:szCs w:val="24"/>
          <w:lang w:bidi="hi-IN"/>
        </w:rPr>
        <w:t>Mit</w:t>
      </w:r>
      <w:proofErr w:type="spellEnd"/>
      <w:r w:rsidRPr="00AC72DE">
        <w:rPr>
          <w:rFonts w:ascii="Times New Roman" w:hAnsi="Times New Roman" w:cs="Times New Roman"/>
          <w:color w:val="000000"/>
          <w:sz w:val="24"/>
          <w:szCs w:val="24"/>
          <w:lang w:bidi="hi-IN"/>
        </w:rPr>
        <w:t xml:space="preserve"> Press.</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Dixon, J. A., </w:t>
      </w:r>
      <w:proofErr w:type="spellStart"/>
      <w:r w:rsidRPr="00AC72DE">
        <w:rPr>
          <w:rFonts w:ascii="Times New Roman" w:hAnsi="Times New Roman" w:cs="Times New Roman"/>
          <w:color w:val="000000"/>
          <w:sz w:val="24"/>
          <w:szCs w:val="24"/>
          <w:lang w:bidi="hi-IN"/>
        </w:rPr>
        <w:t>Brohman</w:t>
      </w:r>
      <w:proofErr w:type="spellEnd"/>
      <w:r w:rsidRPr="00AC72DE">
        <w:rPr>
          <w:rFonts w:ascii="Times New Roman" w:hAnsi="Times New Roman" w:cs="Times New Roman"/>
          <w:color w:val="000000"/>
          <w:sz w:val="24"/>
          <w:szCs w:val="24"/>
          <w:lang w:bidi="hi-IN"/>
        </w:rPr>
        <w:t>, K., &amp; Chan, Y. E. (2017).</w:t>
      </w:r>
      <w:proofErr w:type="gramEnd"/>
      <w:r w:rsidRPr="00AC72DE">
        <w:rPr>
          <w:rFonts w:ascii="Times New Roman" w:hAnsi="Times New Roman" w:cs="Times New Roman"/>
          <w:color w:val="000000"/>
          <w:sz w:val="24"/>
          <w:szCs w:val="24"/>
          <w:lang w:bidi="hi-IN"/>
        </w:rPr>
        <w:t xml:space="preserve"> Dynamic ambidexterity: Exploiting exploration for business success in the digital age.</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Donaldson, L. (2001). </w:t>
      </w:r>
      <w:proofErr w:type="gramStart"/>
      <w:r w:rsidRPr="00AC72DE">
        <w:rPr>
          <w:i/>
          <w:iCs/>
          <w:color w:val="000000"/>
          <w:lang w:bidi="hi-IN"/>
        </w:rPr>
        <w:t>The Contingency Theory of Organizations</w:t>
      </w:r>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Thousand Oaks, CA: Sage Publications.</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Dovbischuk</w:t>
      </w:r>
      <w:proofErr w:type="spellEnd"/>
      <w:r w:rsidRPr="00AC72DE">
        <w:rPr>
          <w:rFonts w:ascii="Times New Roman" w:hAnsi="Times New Roman" w:cs="Times New Roman"/>
          <w:color w:val="000000"/>
          <w:sz w:val="24"/>
          <w:szCs w:val="24"/>
          <w:lang w:bidi="hi-IN"/>
        </w:rPr>
        <w:t>, I. (2022). Innovation-oriented dynamic capabilities of logistics service providers, dynamic resilience and firm performance during the COVID-19 pandemic. The International Journal of Logistics Management, 33(2), 499-519.</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Drnevich</w:t>
      </w:r>
      <w:proofErr w:type="spellEnd"/>
      <w:r w:rsidRPr="00AC72DE">
        <w:rPr>
          <w:rFonts w:ascii="Times New Roman" w:hAnsi="Times New Roman" w:cs="Times New Roman"/>
          <w:color w:val="000000"/>
          <w:sz w:val="24"/>
          <w:szCs w:val="24"/>
          <w:lang w:bidi="hi-IN"/>
        </w:rPr>
        <w:t xml:space="preserve">, P. L., &amp; </w:t>
      </w:r>
      <w:proofErr w:type="spellStart"/>
      <w:r w:rsidRPr="00AC72DE">
        <w:rPr>
          <w:rFonts w:ascii="Times New Roman" w:hAnsi="Times New Roman" w:cs="Times New Roman"/>
          <w:color w:val="000000"/>
          <w:sz w:val="24"/>
          <w:szCs w:val="24"/>
          <w:lang w:bidi="hi-IN"/>
        </w:rPr>
        <w:t>Kriauciunas</w:t>
      </w:r>
      <w:proofErr w:type="spellEnd"/>
      <w:r w:rsidRPr="00AC72DE">
        <w:rPr>
          <w:rFonts w:ascii="Times New Roman" w:hAnsi="Times New Roman" w:cs="Times New Roman"/>
          <w:color w:val="000000"/>
          <w:sz w:val="24"/>
          <w:szCs w:val="24"/>
          <w:lang w:bidi="hi-IN"/>
        </w:rPr>
        <w:t>, A. P. (2011).</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Clarifying the conditions and limits of the contributions of ordinary and dynamic capabilities to relative firm performance.</w:t>
      </w:r>
      <w:proofErr w:type="gramEnd"/>
      <w:r w:rsidRPr="00AC72DE">
        <w:rPr>
          <w:rFonts w:ascii="Times New Roman" w:hAnsi="Times New Roman" w:cs="Times New Roman"/>
          <w:color w:val="000000"/>
          <w:sz w:val="24"/>
          <w:szCs w:val="24"/>
          <w:lang w:bidi="hi-IN"/>
        </w:rPr>
        <w:t> </w:t>
      </w:r>
      <w:proofErr w:type="gramStart"/>
      <w:r w:rsidRPr="00AC72DE">
        <w:rPr>
          <w:rFonts w:ascii="Times New Roman" w:hAnsi="Times New Roman" w:cs="Times New Roman"/>
          <w:color w:val="000000"/>
          <w:sz w:val="24"/>
          <w:szCs w:val="24"/>
          <w:lang w:bidi="hi-IN"/>
        </w:rPr>
        <w:t>Strategic management journal, 32(3), 254-279.</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181F55">
        <w:rPr>
          <w:rFonts w:ascii="Times New Roman" w:hAnsi="Times New Roman" w:cs="Times New Roman"/>
          <w:color w:val="000000"/>
          <w:sz w:val="24"/>
          <w:szCs w:val="24"/>
          <w:lang w:bidi="hi-IN"/>
        </w:rPr>
        <w:t>Duchek</w:t>
      </w:r>
      <w:proofErr w:type="spellEnd"/>
      <w:r w:rsidRPr="00181F55">
        <w:rPr>
          <w:rFonts w:ascii="Times New Roman" w:hAnsi="Times New Roman" w:cs="Times New Roman"/>
          <w:color w:val="000000"/>
          <w:sz w:val="24"/>
          <w:szCs w:val="24"/>
          <w:lang w:bidi="hi-IN"/>
        </w:rPr>
        <w:t xml:space="preserve">, Stephanie. “Organizational Resilience: A Capability-Based Conceptualization.” Business Research 13, no. 1 (April 2020): 215–46. </w:t>
      </w:r>
      <w:hyperlink r:id="rId13" w:history="1">
        <w:r w:rsidRPr="00AC72DE">
          <w:rPr>
            <w:rFonts w:ascii="Times New Roman" w:hAnsi="Times New Roman" w:cs="Times New Roman"/>
            <w:color w:val="000000"/>
            <w:sz w:val="24"/>
            <w:szCs w:val="24"/>
            <w:lang w:bidi="hi-IN"/>
          </w:rPr>
          <w:t>https://doi.org/10.1007/s40685-019-0085-7</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Duvivier</w:t>
      </w:r>
      <w:proofErr w:type="spellEnd"/>
      <w:r w:rsidRPr="00AC72DE">
        <w:rPr>
          <w:rFonts w:ascii="Times New Roman" w:hAnsi="Times New Roman" w:cs="Times New Roman"/>
          <w:color w:val="000000"/>
          <w:sz w:val="24"/>
          <w:szCs w:val="24"/>
          <w:lang w:bidi="hi-IN"/>
        </w:rPr>
        <w:t>, F., &amp; Gupta, G. (2023).</w:t>
      </w:r>
      <w:proofErr w:type="gramEnd"/>
      <w:r w:rsidRPr="00AC72DE">
        <w:rPr>
          <w:rFonts w:ascii="Times New Roman" w:hAnsi="Times New Roman" w:cs="Times New Roman"/>
          <w:color w:val="000000"/>
          <w:sz w:val="24"/>
          <w:szCs w:val="24"/>
          <w:lang w:bidi="hi-IN"/>
        </w:rPr>
        <w:t xml:space="preserve"> Unleashing digital agility: a review of literature on agile responses to digital challenges. Journal of Global Information Management (JGIM), 31(8), 1-22.</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Edmondson, A. C., &amp; McManus, S. E. (2007).</w:t>
      </w:r>
      <w:proofErr w:type="gramEnd"/>
      <w:r w:rsidRPr="00AC72DE">
        <w:rPr>
          <w:rFonts w:ascii="Times New Roman" w:hAnsi="Times New Roman" w:cs="Times New Roman"/>
          <w:color w:val="000000"/>
          <w:sz w:val="24"/>
          <w:szCs w:val="24"/>
          <w:lang w:bidi="hi-IN"/>
        </w:rPr>
        <w:t xml:space="preserve"> Methodological fit in management field research. </w:t>
      </w:r>
      <w:proofErr w:type="gramStart"/>
      <w:r w:rsidRPr="00AC72DE">
        <w:rPr>
          <w:rFonts w:ascii="Times New Roman" w:hAnsi="Times New Roman" w:cs="Times New Roman"/>
          <w:color w:val="000000"/>
          <w:sz w:val="24"/>
          <w:szCs w:val="24"/>
          <w:lang w:bidi="hi-IN"/>
        </w:rPr>
        <w:t>Academy of management review, 32(4), 1246-1264.</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Eisenhardt, K. M., &amp; Martin, J. A. (2000).</w:t>
      </w:r>
      <w:proofErr w:type="gramEnd"/>
      <w:r w:rsidRPr="00AC72DE">
        <w:rPr>
          <w:rFonts w:ascii="Times New Roman" w:hAnsi="Times New Roman" w:cs="Times New Roman"/>
          <w:color w:val="000000"/>
          <w:sz w:val="24"/>
          <w:szCs w:val="24"/>
          <w:lang w:bidi="hi-IN"/>
        </w:rPr>
        <w:t xml:space="preserve"> Dynamic capabilities: what are they</w:t>
      </w:r>
      <w:proofErr w:type="gramStart"/>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w:t>
      </w:r>
      <w:proofErr w:type="gramStart"/>
      <w:r w:rsidRPr="00AC72DE">
        <w:rPr>
          <w:rFonts w:ascii="Times New Roman" w:hAnsi="Times New Roman" w:cs="Times New Roman"/>
          <w:color w:val="000000"/>
          <w:sz w:val="24"/>
          <w:szCs w:val="24"/>
          <w:lang w:bidi="hi-IN"/>
        </w:rPr>
        <w:t>Strategic management journal, 21(10‐11), 1105-1121.</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Evans, N. D. (2017, January). Mastering Digital Business: How powerful combinations of disruptive technologies are enabling the next wave of digital transformation. </w:t>
      </w:r>
      <w:proofErr w:type="gramStart"/>
      <w:r w:rsidRPr="00AC72DE">
        <w:rPr>
          <w:rFonts w:ascii="Times New Roman" w:hAnsi="Times New Roman" w:cs="Times New Roman"/>
          <w:color w:val="000000"/>
          <w:sz w:val="24"/>
          <w:szCs w:val="24"/>
          <w:lang w:bidi="hi-IN"/>
        </w:rPr>
        <w:t>BCS.</w:t>
      </w:r>
      <w:proofErr w:type="gramEnd"/>
      <w:r w:rsidRPr="00AC72DE">
        <w:rPr>
          <w:rFonts w:ascii="Times New Roman" w:hAnsi="Times New Roman" w:cs="Times New Roman"/>
          <w:color w:val="000000"/>
          <w:sz w:val="24"/>
          <w:szCs w:val="24"/>
          <w:lang w:bidi="hi-IN"/>
        </w:rPr>
        <w:t xml:space="preserve"> </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Feizabadi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Javad</w:t>
      </w:r>
      <w:proofErr w:type="spellEnd"/>
      <w:r w:rsidRPr="00AC72DE">
        <w:rPr>
          <w:rFonts w:ascii="Times New Roman" w:hAnsi="Times New Roman" w:cs="Times New Roman"/>
          <w:color w:val="000000"/>
          <w:sz w:val="24"/>
          <w:szCs w:val="24"/>
          <w:lang w:bidi="hi-IN"/>
        </w:rPr>
        <w:t xml:space="preserve">, David </w:t>
      </w:r>
      <w:proofErr w:type="spellStart"/>
      <w:r w:rsidRPr="00AC72DE">
        <w:rPr>
          <w:rFonts w:ascii="Times New Roman" w:hAnsi="Times New Roman" w:cs="Times New Roman"/>
          <w:color w:val="000000"/>
          <w:sz w:val="24"/>
          <w:szCs w:val="24"/>
          <w:lang w:bidi="hi-IN"/>
        </w:rPr>
        <w:t>Gligor</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Somayeh</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Alibakhshi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Motlagh</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“The Triple-As Supply Chain Competitive Advantage.”</w:t>
      </w:r>
      <w:proofErr w:type="gramEnd"/>
      <w:r w:rsidRPr="00AC72DE">
        <w:rPr>
          <w:rFonts w:ascii="Times New Roman" w:hAnsi="Times New Roman" w:cs="Times New Roman"/>
          <w:color w:val="000000"/>
          <w:sz w:val="24"/>
          <w:szCs w:val="24"/>
          <w:lang w:bidi="hi-IN"/>
        </w:rPr>
        <w:t xml:space="preserve"> Benchmarking: An International Journal 26, no. 7 (September 13, 2019): 2286–2317. </w:t>
      </w:r>
      <w:hyperlink r:id="rId14" w:history="1">
        <w:r w:rsidRPr="00AC72DE">
          <w:rPr>
            <w:rFonts w:ascii="Times New Roman" w:hAnsi="Times New Roman" w:cs="Times New Roman"/>
            <w:color w:val="000000"/>
            <w:sz w:val="24"/>
            <w:szCs w:val="24"/>
            <w:lang w:bidi="hi-IN"/>
          </w:rPr>
          <w:t>https://doi.org/10.1108/BIJ-10-2018-0317</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Fornell</w:t>
      </w:r>
      <w:proofErr w:type="spellEnd"/>
      <w:r w:rsidRPr="00AC72DE">
        <w:rPr>
          <w:rFonts w:ascii="Times New Roman" w:hAnsi="Times New Roman" w:cs="Times New Roman"/>
          <w:color w:val="000000"/>
          <w:sz w:val="24"/>
          <w:szCs w:val="24"/>
          <w:lang w:bidi="hi-IN"/>
        </w:rPr>
        <w:t xml:space="preserve">, C., &amp; </w:t>
      </w:r>
      <w:proofErr w:type="spellStart"/>
      <w:r w:rsidRPr="00AC72DE">
        <w:rPr>
          <w:rFonts w:ascii="Times New Roman" w:hAnsi="Times New Roman" w:cs="Times New Roman"/>
          <w:color w:val="000000"/>
          <w:sz w:val="24"/>
          <w:szCs w:val="24"/>
          <w:lang w:bidi="hi-IN"/>
        </w:rPr>
        <w:t>Larcker</w:t>
      </w:r>
      <w:proofErr w:type="spellEnd"/>
      <w:r w:rsidRPr="00AC72DE">
        <w:rPr>
          <w:rFonts w:ascii="Times New Roman" w:hAnsi="Times New Roman" w:cs="Times New Roman"/>
          <w:color w:val="000000"/>
          <w:sz w:val="24"/>
          <w:szCs w:val="24"/>
          <w:lang w:bidi="hi-IN"/>
        </w:rPr>
        <w:t>, D. F. (1981).</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Evaluating structural equation models with unobservable variables and measurement error.</w:t>
      </w:r>
      <w:proofErr w:type="gramEnd"/>
      <w:r w:rsidRPr="00AC72DE">
        <w:rPr>
          <w:rFonts w:ascii="Times New Roman" w:hAnsi="Times New Roman" w:cs="Times New Roman"/>
          <w:color w:val="000000"/>
          <w:sz w:val="24"/>
          <w:szCs w:val="24"/>
          <w:lang w:bidi="hi-IN"/>
        </w:rPr>
        <w:t xml:space="preserve"> Journal of Marketing Research, 18(1), 39-50.</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Gao</w:t>
      </w:r>
      <w:proofErr w:type="spellEnd"/>
      <w:proofErr w:type="gramEnd"/>
      <w:r w:rsidRPr="00AC72DE">
        <w:rPr>
          <w:rFonts w:ascii="Times New Roman" w:hAnsi="Times New Roman" w:cs="Times New Roman"/>
          <w:color w:val="000000"/>
          <w:sz w:val="24"/>
          <w:szCs w:val="24"/>
          <w:lang w:bidi="hi-IN"/>
        </w:rPr>
        <w:t xml:space="preserve">, Yu, </w:t>
      </w:r>
      <w:proofErr w:type="spellStart"/>
      <w:r w:rsidRPr="00AC72DE">
        <w:rPr>
          <w:rFonts w:ascii="Times New Roman" w:hAnsi="Times New Roman" w:cs="Times New Roman"/>
          <w:color w:val="000000"/>
          <w:sz w:val="24"/>
          <w:szCs w:val="24"/>
          <w:lang w:bidi="hi-IN"/>
        </w:rPr>
        <w:t>Xiuyun</w:t>
      </w:r>
      <w:proofErr w:type="spellEnd"/>
      <w:r w:rsidRPr="00AC72DE">
        <w:rPr>
          <w:rFonts w:ascii="Times New Roman" w:hAnsi="Times New Roman" w:cs="Times New Roman"/>
          <w:color w:val="000000"/>
          <w:sz w:val="24"/>
          <w:szCs w:val="24"/>
          <w:lang w:bidi="hi-IN"/>
        </w:rPr>
        <w:t xml:space="preserve"> Yang, and </w:t>
      </w:r>
      <w:proofErr w:type="spellStart"/>
      <w:r w:rsidRPr="00AC72DE">
        <w:rPr>
          <w:rFonts w:ascii="Times New Roman" w:hAnsi="Times New Roman" w:cs="Times New Roman"/>
          <w:color w:val="000000"/>
          <w:sz w:val="24"/>
          <w:szCs w:val="24"/>
          <w:lang w:bidi="hi-IN"/>
        </w:rPr>
        <w:t>Shuangyan</w:t>
      </w:r>
      <w:proofErr w:type="spellEnd"/>
      <w:r w:rsidRPr="00AC72DE">
        <w:rPr>
          <w:rFonts w:ascii="Times New Roman" w:hAnsi="Times New Roman" w:cs="Times New Roman"/>
          <w:color w:val="000000"/>
          <w:sz w:val="24"/>
          <w:szCs w:val="24"/>
          <w:lang w:bidi="hi-IN"/>
        </w:rPr>
        <w:t xml:space="preserve"> Li. “Government Supports, Digital Capability, and Organizational Resilience Capacity during COVID-19: The Moderation Role of Organizational Unlearning.” Sustainability 14, no. 15 (August 3, 2022): 9520. </w:t>
      </w:r>
      <w:hyperlink r:id="rId15" w:history="1">
        <w:r w:rsidRPr="00AC72DE">
          <w:rPr>
            <w:rFonts w:ascii="Times New Roman" w:hAnsi="Times New Roman" w:cs="Times New Roman"/>
            <w:color w:val="000000"/>
            <w:sz w:val="24"/>
            <w:szCs w:val="24"/>
            <w:lang w:bidi="hi-IN"/>
          </w:rPr>
          <w:t>https://doi.org/10.3390/su14159520</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Ginsberg, Ari, and N </w:t>
      </w:r>
      <w:proofErr w:type="spellStart"/>
      <w:r w:rsidRPr="00AC72DE">
        <w:rPr>
          <w:rFonts w:ascii="Times New Roman" w:hAnsi="Times New Roman" w:cs="Times New Roman"/>
          <w:color w:val="000000"/>
          <w:sz w:val="24"/>
          <w:szCs w:val="24"/>
          <w:lang w:bidi="hi-IN"/>
        </w:rPr>
        <w:t>Venkatraman</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 xml:space="preserve">“Contingency Perspectives of Organizational Strategy: A Critical Review of the Empirical Research,” </w:t>
      </w:r>
      <w:proofErr w:type="spellStart"/>
      <w:r w:rsidRPr="00AC72DE">
        <w:rPr>
          <w:rFonts w:ascii="Times New Roman" w:hAnsi="Times New Roman" w:cs="Times New Roman"/>
          <w:color w:val="000000"/>
          <w:sz w:val="24"/>
          <w:szCs w:val="24"/>
          <w:lang w:bidi="hi-IN"/>
        </w:rPr>
        <w:t>n.d.</w:t>
      </w:r>
      <w:proofErr w:type="spellEnd"/>
      <w:proofErr w:type="gramEnd"/>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Gittell</w:t>
      </w:r>
      <w:proofErr w:type="spellEnd"/>
      <w:r w:rsidRPr="00AC72DE">
        <w:rPr>
          <w:rFonts w:ascii="Times New Roman" w:hAnsi="Times New Roman" w:cs="Times New Roman"/>
          <w:color w:val="000000"/>
          <w:sz w:val="24"/>
          <w:szCs w:val="24"/>
          <w:lang w:bidi="hi-IN"/>
        </w:rPr>
        <w:t>, Jody Hoffer, Kim Cameron, Sandy Lim, and Victor Rivas.</w:t>
      </w:r>
      <w:proofErr w:type="gramEnd"/>
      <w:r w:rsidRPr="00AC72DE">
        <w:rPr>
          <w:rFonts w:ascii="Times New Roman" w:hAnsi="Times New Roman" w:cs="Times New Roman"/>
          <w:color w:val="000000"/>
          <w:sz w:val="24"/>
          <w:szCs w:val="24"/>
          <w:lang w:bidi="hi-IN"/>
        </w:rPr>
        <w:t xml:space="preserve"> “Relationships, Layoffs, and Organizational Resilience: Airline Industry Responses to September 11.” The Journal of Applied </w:t>
      </w:r>
      <w:proofErr w:type="spellStart"/>
      <w:r w:rsidRPr="00AC72DE">
        <w:rPr>
          <w:rFonts w:ascii="Times New Roman" w:hAnsi="Times New Roman" w:cs="Times New Roman"/>
          <w:color w:val="000000"/>
          <w:sz w:val="24"/>
          <w:szCs w:val="24"/>
          <w:lang w:bidi="hi-IN"/>
        </w:rPr>
        <w:t>Behavioral</w:t>
      </w:r>
      <w:proofErr w:type="spellEnd"/>
      <w:r w:rsidRPr="00AC72DE">
        <w:rPr>
          <w:rFonts w:ascii="Times New Roman" w:hAnsi="Times New Roman" w:cs="Times New Roman"/>
          <w:color w:val="000000"/>
          <w:sz w:val="24"/>
          <w:szCs w:val="24"/>
          <w:lang w:bidi="hi-IN"/>
        </w:rPr>
        <w:t xml:space="preserve"> Science 42, no. 3 (September 2006): 300–329. </w:t>
      </w:r>
      <w:hyperlink r:id="rId16" w:history="1">
        <w:r w:rsidRPr="00AC72DE">
          <w:rPr>
            <w:rFonts w:ascii="Times New Roman" w:hAnsi="Times New Roman" w:cs="Times New Roman"/>
            <w:color w:val="000000"/>
            <w:sz w:val="24"/>
            <w:szCs w:val="24"/>
            <w:lang w:bidi="hi-IN"/>
          </w:rPr>
          <w:t>https://doi.org/10.1177/0021886306286466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Gong, Y., Greenwood, R., &amp; Han, S. (2022). Digital transformation during a crisis: The role of resilience and agility. Strategic Organization, 20(2), 355–381.</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Gregory, A. J., Atkins, J. P., </w:t>
      </w:r>
      <w:proofErr w:type="spellStart"/>
      <w:r w:rsidRPr="00AC72DE">
        <w:rPr>
          <w:rFonts w:ascii="Times New Roman" w:hAnsi="Times New Roman" w:cs="Times New Roman"/>
          <w:color w:val="000000"/>
          <w:sz w:val="24"/>
          <w:szCs w:val="24"/>
          <w:lang w:bidi="hi-IN"/>
        </w:rPr>
        <w:t>Midgley</w:t>
      </w:r>
      <w:proofErr w:type="spellEnd"/>
      <w:r w:rsidRPr="00AC72DE">
        <w:rPr>
          <w:rFonts w:ascii="Times New Roman" w:hAnsi="Times New Roman" w:cs="Times New Roman"/>
          <w:color w:val="000000"/>
          <w:sz w:val="24"/>
          <w:szCs w:val="24"/>
          <w:lang w:bidi="hi-IN"/>
        </w:rPr>
        <w:t>, G., &amp; Hodgson, A. M. (2020).</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Stakeholder identification and engagement in problem structuring interventions.</w:t>
      </w:r>
      <w:proofErr w:type="gramEnd"/>
      <w:r w:rsidRPr="00AC72DE">
        <w:rPr>
          <w:rFonts w:ascii="Times New Roman" w:hAnsi="Times New Roman" w:cs="Times New Roman"/>
          <w:color w:val="000000"/>
          <w:sz w:val="24"/>
          <w:szCs w:val="24"/>
          <w:lang w:bidi="hi-IN"/>
        </w:rPr>
        <w:t> </w:t>
      </w:r>
      <w:proofErr w:type="gramStart"/>
      <w:r w:rsidRPr="00AC72DE">
        <w:rPr>
          <w:rFonts w:ascii="Times New Roman" w:hAnsi="Times New Roman" w:cs="Times New Roman"/>
          <w:color w:val="000000"/>
          <w:sz w:val="24"/>
          <w:szCs w:val="24"/>
          <w:lang w:bidi="hi-IN"/>
        </w:rPr>
        <w:t>European journal of operational research, 283(1), 321-340.</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Grover, </w:t>
      </w:r>
      <w:proofErr w:type="spellStart"/>
      <w:r w:rsidRPr="00AC72DE">
        <w:rPr>
          <w:rFonts w:ascii="Times New Roman" w:hAnsi="Times New Roman" w:cs="Times New Roman"/>
          <w:color w:val="000000"/>
          <w:sz w:val="24"/>
          <w:szCs w:val="24"/>
          <w:lang w:bidi="hi-IN"/>
        </w:rPr>
        <w:t>Varun</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“Digital Agility: Responding to Digital Opportunities.” European Journal of Information Systems 31, no. 6 (November 2, 2022): 709–15. </w:t>
      </w:r>
      <w:hyperlink r:id="rId17" w:history="1">
        <w:r w:rsidRPr="00AC72DE">
          <w:rPr>
            <w:rFonts w:ascii="Times New Roman" w:hAnsi="Times New Roman" w:cs="Times New Roman"/>
            <w:color w:val="000000"/>
            <w:sz w:val="24"/>
            <w:szCs w:val="24"/>
            <w:lang w:bidi="hi-IN"/>
          </w:rPr>
          <w:t>https://doi.org/10.1080/0960085X.2022.2096492</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Guide, V.D.R. and </w:t>
      </w:r>
      <w:proofErr w:type="spellStart"/>
      <w:r w:rsidRPr="00AC72DE">
        <w:rPr>
          <w:rFonts w:ascii="Times New Roman" w:hAnsi="Times New Roman" w:cs="Times New Roman"/>
          <w:color w:val="000000"/>
          <w:sz w:val="24"/>
          <w:szCs w:val="24"/>
          <w:lang w:bidi="hi-IN"/>
        </w:rPr>
        <w:t>Ketokivi</w:t>
      </w:r>
      <w:proofErr w:type="spellEnd"/>
      <w:r w:rsidRPr="00AC72DE">
        <w:rPr>
          <w:rFonts w:ascii="Times New Roman" w:hAnsi="Times New Roman" w:cs="Times New Roman"/>
          <w:color w:val="000000"/>
          <w:sz w:val="24"/>
          <w:szCs w:val="24"/>
          <w:lang w:bidi="hi-IN"/>
        </w:rPr>
        <w:t>, M. (2015), “</w:t>
      </w:r>
      <w:r>
        <w:rPr>
          <w:rFonts w:ascii="Times New Roman" w:hAnsi="Times New Roman" w:cs="Times New Roman"/>
          <w:color w:val="000000"/>
          <w:sz w:val="24"/>
          <w:szCs w:val="24"/>
          <w:lang w:bidi="hi-IN"/>
        </w:rPr>
        <w:t xml:space="preserve">Notes from the </w:t>
      </w:r>
      <w:r w:rsidRPr="00AC72DE">
        <w:rPr>
          <w:rFonts w:ascii="Times New Roman" w:hAnsi="Times New Roman" w:cs="Times New Roman"/>
          <w:color w:val="000000"/>
          <w:sz w:val="24"/>
          <w:szCs w:val="24"/>
          <w:lang w:bidi="hi-IN"/>
        </w:rPr>
        <w:t>editors: restructuring the Journal of Operations</w:t>
      </w:r>
      <w:r>
        <w:rPr>
          <w:rFonts w:ascii="Times New Roman" w:hAnsi="Times New Roman" w:cs="Times New Roman"/>
          <w:color w:val="000000"/>
          <w:sz w:val="24"/>
          <w:szCs w:val="24"/>
          <w:lang w:bidi="hi-IN"/>
        </w:rPr>
        <w:t xml:space="preserve"> </w:t>
      </w:r>
      <w:r w:rsidRPr="00AC72DE">
        <w:rPr>
          <w:rFonts w:ascii="Times New Roman" w:hAnsi="Times New Roman" w:cs="Times New Roman"/>
          <w:color w:val="000000"/>
          <w:sz w:val="24"/>
          <w:szCs w:val="24"/>
          <w:lang w:bidi="hi-IN"/>
        </w:rPr>
        <w:t>Management”</w:t>
      </w:r>
      <w:r>
        <w:rPr>
          <w:rFonts w:ascii="Times New Roman" w:hAnsi="Times New Roman" w:cs="Times New Roman"/>
          <w:color w:val="000000"/>
          <w:sz w:val="24"/>
          <w:szCs w:val="24"/>
          <w:lang w:bidi="hi-IN"/>
        </w:rPr>
        <w:t xml:space="preserve">, </w:t>
      </w:r>
      <w:r w:rsidRPr="00AC72DE">
        <w:rPr>
          <w:rFonts w:ascii="Times New Roman" w:hAnsi="Times New Roman" w:cs="Times New Roman"/>
          <w:color w:val="000000"/>
          <w:sz w:val="24"/>
          <w:szCs w:val="24"/>
          <w:lang w:bidi="hi-IN"/>
        </w:rPr>
        <w:t xml:space="preserve">Journal </w:t>
      </w:r>
      <w:proofErr w:type="spellStart"/>
      <w:r w:rsidRPr="00AC72DE">
        <w:rPr>
          <w:rFonts w:ascii="Times New Roman" w:hAnsi="Times New Roman" w:cs="Times New Roman"/>
          <w:color w:val="000000"/>
          <w:sz w:val="24"/>
          <w:szCs w:val="24"/>
          <w:lang w:bidi="hi-IN"/>
        </w:rPr>
        <w:t>ofOperationsManagement</w:t>
      </w:r>
      <w:proofErr w:type="spellEnd"/>
      <w:r w:rsidRPr="00AC72DE">
        <w:rPr>
          <w:rFonts w:ascii="Times New Roman" w:hAnsi="Times New Roman" w:cs="Times New Roman"/>
          <w:color w:val="000000"/>
          <w:sz w:val="24"/>
          <w:szCs w:val="24"/>
          <w:lang w:bidi="hi-IN"/>
        </w:rPr>
        <w:t xml:space="preserve">, Vol. 38No. </w:t>
      </w:r>
      <w:proofErr w:type="gramStart"/>
      <w:r w:rsidRPr="00AC72DE">
        <w:rPr>
          <w:rFonts w:ascii="Times New Roman" w:hAnsi="Times New Roman" w:cs="Times New Roman"/>
          <w:color w:val="000000"/>
          <w:sz w:val="24"/>
          <w:szCs w:val="24"/>
          <w:lang w:bidi="hi-IN"/>
        </w:rPr>
        <w:t>1, pp. v–x.</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Henseler</w:t>
      </w:r>
      <w:proofErr w:type="spellEnd"/>
      <w:r w:rsidRPr="00AC72DE">
        <w:rPr>
          <w:rFonts w:ascii="Times New Roman" w:hAnsi="Times New Roman" w:cs="Times New Roman"/>
          <w:color w:val="000000"/>
          <w:sz w:val="24"/>
          <w:szCs w:val="24"/>
          <w:lang w:bidi="hi-IN"/>
        </w:rPr>
        <w:t xml:space="preserve">, J., </w:t>
      </w:r>
      <w:proofErr w:type="spellStart"/>
      <w:r w:rsidRPr="00AC72DE">
        <w:rPr>
          <w:rFonts w:ascii="Times New Roman" w:hAnsi="Times New Roman" w:cs="Times New Roman"/>
          <w:color w:val="000000"/>
          <w:sz w:val="24"/>
          <w:szCs w:val="24"/>
          <w:lang w:bidi="hi-IN"/>
        </w:rPr>
        <w:t>Ringle</w:t>
      </w:r>
      <w:proofErr w:type="spellEnd"/>
      <w:r w:rsidRPr="00AC72DE">
        <w:rPr>
          <w:rFonts w:ascii="Times New Roman" w:hAnsi="Times New Roman" w:cs="Times New Roman"/>
          <w:color w:val="000000"/>
          <w:sz w:val="24"/>
          <w:szCs w:val="24"/>
          <w:lang w:bidi="hi-IN"/>
        </w:rPr>
        <w:t xml:space="preserve">, C.M. and </w:t>
      </w:r>
      <w:proofErr w:type="spellStart"/>
      <w:r w:rsidRPr="00AC72DE">
        <w:rPr>
          <w:rFonts w:ascii="Times New Roman" w:hAnsi="Times New Roman" w:cs="Times New Roman"/>
          <w:color w:val="000000"/>
          <w:sz w:val="24"/>
          <w:szCs w:val="24"/>
          <w:lang w:bidi="hi-IN"/>
        </w:rPr>
        <w:t>Sarstedt</w:t>
      </w:r>
      <w:proofErr w:type="spellEnd"/>
      <w:r w:rsidRPr="00AC72DE">
        <w:rPr>
          <w:rFonts w:ascii="Times New Roman" w:hAnsi="Times New Roman" w:cs="Times New Roman"/>
          <w:color w:val="000000"/>
          <w:sz w:val="24"/>
          <w:szCs w:val="24"/>
          <w:lang w:bidi="hi-IN"/>
        </w:rPr>
        <w:t>, M. (2016), “</w:t>
      </w:r>
      <w:r>
        <w:rPr>
          <w:rFonts w:ascii="Times New Roman" w:hAnsi="Times New Roman" w:cs="Times New Roman"/>
          <w:color w:val="000000"/>
          <w:sz w:val="24"/>
          <w:szCs w:val="24"/>
          <w:lang w:bidi="hi-IN"/>
        </w:rPr>
        <w:t xml:space="preserve">Testing </w:t>
      </w:r>
      <w:r w:rsidRPr="00AC72DE">
        <w:rPr>
          <w:rFonts w:ascii="Times New Roman" w:hAnsi="Times New Roman" w:cs="Times New Roman"/>
          <w:color w:val="000000"/>
          <w:sz w:val="24"/>
          <w:szCs w:val="24"/>
          <w:lang w:bidi="hi-IN"/>
        </w:rPr>
        <w:t>measurement invariance of</w:t>
      </w:r>
      <w:r>
        <w:rPr>
          <w:rFonts w:ascii="Times New Roman" w:hAnsi="Times New Roman" w:cs="Times New Roman"/>
          <w:color w:val="000000"/>
          <w:sz w:val="24"/>
          <w:szCs w:val="24"/>
          <w:lang w:bidi="hi-IN"/>
        </w:rPr>
        <w:t xml:space="preserve"> composites using partial least </w:t>
      </w:r>
      <w:r w:rsidRPr="00AC72DE">
        <w:rPr>
          <w:rFonts w:ascii="Times New Roman" w:hAnsi="Times New Roman" w:cs="Times New Roman"/>
          <w:color w:val="000000"/>
          <w:sz w:val="24"/>
          <w:szCs w:val="24"/>
          <w:lang w:bidi="hi-IN"/>
        </w:rPr>
        <w:t>squares”, International Marketing Review</w:t>
      </w:r>
      <w:r>
        <w:rPr>
          <w:rFonts w:ascii="Times New Roman" w:hAnsi="Times New Roman" w:cs="Times New Roman"/>
          <w:color w:val="000000"/>
          <w:sz w:val="24"/>
          <w:szCs w:val="24"/>
          <w:lang w:bidi="hi-IN"/>
        </w:rPr>
        <w:t xml:space="preserve">, Vol. 33 No. 3, pp. </w:t>
      </w:r>
      <w:r w:rsidRPr="00AC72DE">
        <w:rPr>
          <w:rFonts w:ascii="Times New Roman" w:hAnsi="Times New Roman" w:cs="Times New Roman"/>
          <w:color w:val="000000"/>
          <w:sz w:val="24"/>
          <w:szCs w:val="24"/>
          <w:lang w:bidi="hi-IN"/>
        </w:rPr>
        <w:t>405-431</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Hair, J. F., </w:t>
      </w:r>
      <w:proofErr w:type="spellStart"/>
      <w:r w:rsidRPr="00AC72DE">
        <w:rPr>
          <w:rFonts w:ascii="Times New Roman" w:hAnsi="Times New Roman" w:cs="Times New Roman"/>
          <w:color w:val="000000"/>
          <w:sz w:val="24"/>
          <w:szCs w:val="24"/>
          <w:lang w:bidi="hi-IN"/>
        </w:rPr>
        <w:t>Risher</w:t>
      </w:r>
      <w:proofErr w:type="spellEnd"/>
      <w:r w:rsidRPr="00AC72DE">
        <w:rPr>
          <w:rFonts w:ascii="Times New Roman" w:hAnsi="Times New Roman" w:cs="Times New Roman"/>
          <w:color w:val="000000"/>
          <w:sz w:val="24"/>
          <w:szCs w:val="24"/>
          <w:lang w:bidi="hi-IN"/>
        </w:rPr>
        <w:t xml:space="preserve">, J. J., </w:t>
      </w:r>
      <w:proofErr w:type="spellStart"/>
      <w:r w:rsidRPr="00AC72DE">
        <w:rPr>
          <w:rFonts w:ascii="Times New Roman" w:hAnsi="Times New Roman" w:cs="Times New Roman"/>
          <w:color w:val="000000"/>
          <w:sz w:val="24"/>
          <w:szCs w:val="24"/>
          <w:lang w:bidi="hi-IN"/>
        </w:rPr>
        <w:t>Sarstedt</w:t>
      </w:r>
      <w:proofErr w:type="spellEnd"/>
      <w:r w:rsidRPr="00AC72DE">
        <w:rPr>
          <w:rFonts w:ascii="Times New Roman" w:hAnsi="Times New Roman" w:cs="Times New Roman"/>
          <w:color w:val="000000"/>
          <w:sz w:val="24"/>
          <w:szCs w:val="24"/>
          <w:lang w:bidi="hi-IN"/>
        </w:rPr>
        <w:t xml:space="preserve">, M., &amp; </w:t>
      </w:r>
      <w:proofErr w:type="spellStart"/>
      <w:r w:rsidRPr="00AC72DE">
        <w:rPr>
          <w:rFonts w:ascii="Times New Roman" w:hAnsi="Times New Roman" w:cs="Times New Roman"/>
          <w:color w:val="000000"/>
          <w:sz w:val="24"/>
          <w:szCs w:val="24"/>
          <w:lang w:bidi="hi-IN"/>
        </w:rPr>
        <w:t>Ringle</w:t>
      </w:r>
      <w:proofErr w:type="spellEnd"/>
      <w:r w:rsidRPr="00AC72DE">
        <w:rPr>
          <w:rFonts w:ascii="Times New Roman" w:hAnsi="Times New Roman" w:cs="Times New Roman"/>
          <w:color w:val="000000"/>
          <w:sz w:val="24"/>
          <w:szCs w:val="24"/>
          <w:lang w:bidi="hi-IN"/>
        </w:rPr>
        <w:t>, C. M. (2019).</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When to use and how to report the results of PLS-SEM. European Business Review, 31(1), 2–24.</w:t>
      </w:r>
      <w:proofErr w:type="gramEnd"/>
      <w:r w:rsidRPr="00AC72DE">
        <w:rPr>
          <w:rFonts w:ascii="Times New Roman" w:hAnsi="Times New Roman" w:cs="Times New Roman"/>
          <w:color w:val="000000"/>
          <w:sz w:val="24"/>
          <w:szCs w:val="24"/>
          <w:lang w:bidi="hi-IN"/>
        </w:rPr>
        <w:t xml:space="preserve"> https://doi.org/10.1108/EBR-11-2018-0203</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He, Z. L., &amp; Wong, P. K. (2004).</w:t>
      </w:r>
      <w:proofErr w:type="gramEnd"/>
      <w:r w:rsidRPr="00AC72DE">
        <w:rPr>
          <w:rFonts w:ascii="Times New Roman" w:hAnsi="Times New Roman" w:cs="Times New Roman"/>
          <w:color w:val="000000"/>
          <w:sz w:val="24"/>
          <w:szCs w:val="24"/>
          <w:lang w:bidi="hi-IN"/>
        </w:rPr>
        <w:t xml:space="preserve"> Exploration vs. exploitation: An empirical test of the ambidexterity hypothesis. </w:t>
      </w:r>
      <w:proofErr w:type="gramStart"/>
      <w:r w:rsidRPr="00AC72DE">
        <w:rPr>
          <w:rFonts w:ascii="Times New Roman" w:hAnsi="Times New Roman" w:cs="Times New Roman"/>
          <w:color w:val="000000"/>
          <w:sz w:val="24"/>
          <w:szCs w:val="24"/>
          <w:lang w:bidi="hi-IN"/>
        </w:rPr>
        <w:t>Organization science, 15(4), 481-494.</w:t>
      </w:r>
      <w:proofErr w:type="gramEnd"/>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Henisz</w:t>
      </w:r>
      <w:proofErr w:type="spellEnd"/>
      <w:r w:rsidRPr="00AC72DE">
        <w:rPr>
          <w:rFonts w:ascii="Times New Roman" w:hAnsi="Times New Roman" w:cs="Times New Roman"/>
          <w:color w:val="000000"/>
          <w:sz w:val="24"/>
          <w:szCs w:val="24"/>
          <w:lang w:bidi="hi-IN"/>
        </w:rPr>
        <w:t xml:space="preserve">, W. J., </w:t>
      </w:r>
      <w:proofErr w:type="spellStart"/>
      <w:r w:rsidRPr="00AC72DE">
        <w:rPr>
          <w:rFonts w:ascii="Times New Roman" w:hAnsi="Times New Roman" w:cs="Times New Roman"/>
          <w:color w:val="000000"/>
          <w:sz w:val="24"/>
          <w:szCs w:val="24"/>
          <w:lang w:bidi="hi-IN"/>
        </w:rPr>
        <w:t>Zelner</w:t>
      </w:r>
      <w:proofErr w:type="spellEnd"/>
      <w:r w:rsidRPr="00AC72DE">
        <w:rPr>
          <w:rFonts w:ascii="Times New Roman" w:hAnsi="Times New Roman" w:cs="Times New Roman"/>
          <w:color w:val="000000"/>
          <w:sz w:val="24"/>
          <w:szCs w:val="24"/>
          <w:lang w:bidi="hi-IN"/>
        </w:rPr>
        <w:t xml:space="preserve">, B. A., &amp; </w:t>
      </w:r>
      <w:proofErr w:type="spellStart"/>
      <w:r w:rsidRPr="00AC72DE">
        <w:rPr>
          <w:rFonts w:ascii="Times New Roman" w:hAnsi="Times New Roman" w:cs="Times New Roman"/>
          <w:color w:val="000000"/>
          <w:sz w:val="24"/>
          <w:szCs w:val="24"/>
          <w:lang w:bidi="hi-IN"/>
        </w:rPr>
        <w:t>Guillén</w:t>
      </w:r>
      <w:proofErr w:type="spellEnd"/>
      <w:r w:rsidRPr="00AC72DE">
        <w:rPr>
          <w:rFonts w:ascii="Times New Roman" w:hAnsi="Times New Roman" w:cs="Times New Roman"/>
          <w:color w:val="000000"/>
          <w:sz w:val="24"/>
          <w:szCs w:val="24"/>
          <w:lang w:bidi="hi-IN"/>
        </w:rPr>
        <w:t>, M. F. (2005).</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The worldwide diffusion of market-oriented infrastructure reform, 1977–1999.</w:t>
      </w:r>
      <w:proofErr w:type="gramEnd"/>
      <w:r w:rsidRPr="00AC72DE">
        <w:rPr>
          <w:rFonts w:ascii="Times New Roman" w:hAnsi="Times New Roman" w:cs="Times New Roman"/>
          <w:color w:val="000000"/>
          <w:sz w:val="24"/>
          <w:szCs w:val="24"/>
          <w:lang w:bidi="hi-IN"/>
        </w:rPr>
        <w:t> American Sociological Review, 70(6), 871-897.</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Hitt</w:t>
      </w:r>
      <w:proofErr w:type="spellEnd"/>
      <w:r w:rsidRPr="00AC72DE">
        <w:rPr>
          <w:rFonts w:ascii="Times New Roman" w:hAnsi="Times New Roman" w:cs="Times New Roman"/>
          <w:color w:val="000000"/>
          <w:sz w:val="24"/>
          <w:szCs w:val="24"/>
          <w:lang w:bidi="hi-IN"/>
        </w:rPr>
        <w:t xml:space="preserve">, M. A. (2011). </w:t>
      </w:r>
      <w:proofErr w:type="gramStart"/>
      <w:r w:rsidRPr="00AC72DE">
        <w:rPr>
          <w:rFonts w:ascii="Times New Roman" w:hAnsi="Times New Roman" w:cs="Times New Roman"/>
          <w:color w:val="000000"/>
          <w:sz w:val="24"/>
          <w:szCs w:val="24"/>
          <w:lang w:bidi="hi-IN"/>
        </w:rPr>
        <w:t>Relevance of strategic management theory and research for supply chain management.</w:t>
      </w:r>
      <w:proofErr w:type="gramEnd"/>
      <w:r w:rsidRPr="00AC72DE">
        <w:rPr>
          <w:rFonts w:ascii="Times New Roman" w:hAnsi="Times New Roman" w:cs="Times New Roman"/>
          <w:color w:val="000000"/>
          <w:sz w:val="24"/>
          <w:szCs w:val="24"/>
          <w:lang w:bidi="hi-IN"/>
        </w:rPr>
        <w:t> Journal of Supply Chain Management, 47(1), 9-13.</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Irfan</w:t>
      </w:r>
      <w:proofErr w:type="spellEnd"/>
      <w:r w:rsidRPr="00AC72DE">
        <w:rPr>
          <w:rFonts w:ascii="Times New Roman" w:hAnsi="Times New Roman" w:cs="Times New Roman"/>
          <w:color w:val="000000"/>
          <w:sz w:val="24"/>
          <w:szCs w:val="24"/>
          <w:lang w:bidi="hi-IN"/>
        </w:rPr>
        <w:t xml:space="preserve">, I., </w:t>
      </w:r>
      <w:proofErr w:type="spellStart"/>
      <w:r w:rsidRPr="00AC72DE">
        <w:rPr>
          <w:rFonts w:ascii="Times New Roman" w:hAnsi="Times New Roman" w:cs="Times New Roman"/>
          <w:color w:val="000000"/>
          <w:sz w:val="24"/>
          <w:szCs w:val="24"/>
          <w:lang w:bidi="hi-IN"/>
        </w:rPr>
        <w:t>Sumbal</w:t>
      </w:r>
      <w:proofErr w:type="spellEnd"/>
      <w:r w:rsidRPr="00AC72DE">
        <w:rPr>
          <w:rFonts w:ascii="Times New Roman" w:hAnsi="Times New Roman" w:cs="Times New Roman"/>
          <w:color w:val="000000"/>
          <w:sz w:val="24"/>
          <w:szCs w:val="24"/>
          <w:lang w:bidi="hi-IN"/>
        </w:rPr>
        <w:t xml:space="preserve">, M.S.U.K., </w:t>
      </w:r>
      <w:proofErr w:type="spellStart"/>
      <w:r w:rsidRPr="00AC72DE">
        <w:rPr>
          <w:rFonts w:ascii="Times New Roman" w:hAnsi="Times New Roman" w:cs="Times New Roman"/>
          <w:color w:val="000000"/>
          <w:sz w:val="24"/>
          <w:szCs w:val="24"/>
          <w:lang w:bidi="hi-IN"/>
        </w:rPr>
        <w:t>Khurshid</w:t>
      </w:r>
      <w:proofErr w:type="spellEnd"/>
      <w:r w:rsidRPr="00AC72DE">
        <w:rPr>
          <w:rFonts w:ascii="Times New Roman" w:hAnsi="Times New Roman" w:cs="Times New Roman"/>
          <w:color w:val="000000"/>
          <w:sz w:val="24"/>
          <w:szCs w:val="24"/>
          <w:lang w:bidi="hi-IN"/>
        </w:rPr>
        <w:t>, F. and Chan, F.T. (2022), “Toward a resilient supply chain model: critical role of knowledge management and dynamic capabilities”, Industrial Management &amp; Data Systems, Vol. 122 No. 5, pp.</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1153-1182.</w:t>
      </w:r>
      <w:proofErr w:type="gramEnd"/>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Jansen, J. J. P., Van Den Bosch, F. A. J., &amp; </w:t>
      </w:r>
      <w:proofErr w:type="spellStart"/>
      <w:r w:rsidRPr="00AC72DE">
        <w:rPr>
          <w:rFonts w:ascii="Times New Roman" w:hAnsi="Times New Roman" w:cs="Times New Roman"/>
          <w:color w:val="000000"/>
          <w:sz w:val="24"/>
          <w:szCs w:val="24"/>
          <w:lang w:bidi="hi-IN"/>
        </w:rPr>
        <w:t>Volberda</w:t>
      </w:r>
      <w:proofErr w:type="spellEnd"/>
      <w:r w:rsidRPr="00AC72DE">
        <w:rPr>
          <w:rFonts w:ascii="Times New Roman" w:hAnsi="Times New Roman" w:cs="Times New Roman"/>
          <w:color w:val="000000"/>
          <w:sz w:val="24"/>
          <w:szCs w:val="24"/>
          <w:lang w:bidi="hi-IN"/>
        </w:rPr>
        <w:t>, H. W. (2006). Exploratory Innovation, Exploitative Innovation, and Performance: Effects of Organizational Antecedents and Environmental Moderators. Management Science, 52(11), 1661–1674. https://doi.org/10.1287/mnsc.1060.0576</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181F55">
        <w:rPr>
          <w:rFonts w:ascii="Times New Roman" w:hAnsi="Times New Roman" w:cs="Times New Roman"/>
          <w:color w:val="000000"/>
          <w:sz w:val="24"/>
          <w:szCs w:val="24"/>
          <w:lang w:bidi="hi-IN"/>
        </w:rPr>
        <w:t xml:space="preserve">Jansen, Justin J. P., Gerard George, </w:t>
      </w:r>
      <w:proofErr w:type="spellStart"/>
      <w:r w:rsidRPr="00181F55">
        <w:rPr>
          <w:rFonts w:ascii="Times New Roman" w:hAnsi="Times New Roman" w:cs="Times New Roman"/>
          <w:color w:val="000000"/>
          <w:sz w:val="24"/>
          <w:szCs w:val="24"/>
          <w:lang w:bidi="hi-IN"/>
        </w:rPr>
        <w:t>Frans</w:t>
      </w:r>
      <w:proofErr w:type="spellEnd"/>
      <w:r w:rsidRPr="00181F55">
        <w:rPr>
          <w:rFonts w:ascii="Times New Roman" w:hAnsi="Times New Roman" w:cs="Times New Roman"/>
          <w:color w:val="000000"/>
          <w:sz w:val="24"/>
          <w:szCs w:val="24"/>
          <w:lang w:bidi="hi-IN"/>
        </w:rPr>
        <w:t xml:space="preserve"> A. J. Van Den Bosch, and </w:t>
      </w:r>
      <w:proofErr w:type="spellStart"/>
      <w:r w:rsidRPr="00181F55">
        <w:rPr>
          <w:rFonts w:ascii="Times New Roman" w:hAnsi="Times New Roman" w:cs="Times New Roman"/>
          <w:color w:val="000000"/>
          <w:sz w:val="24"/>
          <w:szCs w:val="24"/>
          <w:lang w:bidi="hi-IN"/>
        </w:rPr>
        <w:t>Henk</w:t>
      </w:r>
      <w:proofErr w:type="spellEnd"/>
      <w:r w:rsidRPr="00181F55">
        <w:rPr>
          <w:rFonts w:ascii="Times New Roman" w:hAnsi="Times New Roman" w:cs="Times New Roman"/>
          <w:color w:val="000000"/>
          <w:sz w:val="24"/>
          <w:szCs w:val="24"/>
          <w:lang w:bidi="hi-IN"/>
        </w:rPr>
        <w:t xml:space="preserve"> W. </w:t>
      </w:r>
      <w:proofErr w:type="spellStart"/>
      <w:r w:rsidRPr="00181F55">
        <w:rPr>
          <w:rFonts w:ascii="Times New Roman" w:hAnsi="Times New Roman" w:cs="Times New Roman"/>
          <w:color w:val="000000"/>
          <w:sz w:val="24"/>
          <w:szCs w:val="24"/>
          <w:lang w:bidi="hi-IN"/>
        </w:rPr>
        <w:t>Volberda</w:t>
      </w:r>
      <w:proofErr w:type="spellEnd"/>
      <w:r w:rsidRPr="00181F55">
        <w:rPr>
          <w:rFonts w:ascii="Times New Roman" w:hAnsi="Times New Roman" w:cs="Times New Roman"/>
          <w:color w:val="000000"/>
          <w:sz w:val="24"/>
          <w:szCs w:val="24"/>
          <w:lang w:bidi="hi-IN"/>
        </w:rPr>
        <w:t>.</w:t>
      </w:r>
      <w:proofErr w:type="gramEnd"/>
      <w:r w:rsidRPr="00181F55">
        <w:rPr>
          <w:rFonts w:ascii="Times New Roman" w:hAnsi="Times New Roman" w:cs="Times New Roman"/>
          <w:color w:val="000000"/>
          <w:sz w:val="24"/>
          <w:szCs w:val="24"/>
          <w:lang w:bidi="hi-IN"/>
        </w:rPr>
        <w:t xml:space="preserve"> “Senior Team Attributes and Organizational Ambidexterity: The Moderating Role of Transformational Leadership.” Journal of Management Studies 45, no. 5 (July 2008): 982–1007. </w:t>
      </w:r>
      <w:hyperlink r:id="rId18" w:history="1">
        <w:r w:rsidRPr="00AC72DE">
          <w:rPr>
            <w:rFonts w:ascii="Times New Roman" w:hAnsi="Times New Roman" w:cs="Times New Roman"/>
            <w:color w:val="000000"/>
            <w:sz w:val="24"/>
            <w:szCs w:val="24"/>
            <w:lang w:bidi="hi-IN"/>
          </w:rPr>
          <w:t>https://doi.org/10.1111/j.1467-6486.2008.00775.x</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Jaworski</w:t>
      </w:r>
      <w:proofErr w:type="spellEnd"/>
      <w:r w:rsidRPr="00AC72DE">
        <w:rPr>
          <w:rFonts w:ascii="Times New Roman" w:hAnsi="Times New Roman" w:cs="Times New Roman"/>
          <w:color w:val="000000"/>
          <w:sz w:val="24"/>
          <w:szCs w:val="24"/>
          <w:lang w:bidi="hi-IN"/>
        </w:rPr>
        <w:t xml:space="preserve">, B. J., &amp; </w:t>
      </w:r>
      <w:proofErr w:type="spellStart"/>
      <w:r w:rsidRPr="00AC72DE">
        <w:rPr>
          <w:rFonts w:ascii="Times New Roman" w:hAnsi="Times New Roman" w:cs="Times New Roman"/>
          <w:color w:val="000000"/>
          <w:sz w:val="24"/>
          <w:szCs w:val="24"/>
          <w:lang w:bidi="hi-IN"/>
        </w:rPr>
        <w:t>Kohli</w:t>
      </w:r>
      <w:proofErr w:type="spellEnd"/>
      <w:r w:rsidRPr="00AC72DE">
        <w:rPr>
          <w:rFonts w:ascii="Times New Roman" w:hAnsi="Times New Roman" w:cs="Times New Roman"/>
          <w:color w:val="000000"/>
          <w:sz w:val="24"/>
          <w:szCs w:val="24"/>
          <w:lang w:bidi="hi-IN"/>
        </w:rPr>
        <w:t>, A. K. (1993).</w:t>
      </w:r>
      <w:proofErr w:type="gramEnd"/>
      <w:r w:rsidRPr="00AC72DE">
        <w:rPr>
          <w:rFonts w:ascii="Times New Roman" w:hAnsi="Times New Roman" w:cs="Times New Roman"/>
          <w:color w:val="000000"/>
          <w:sz w:val="24"/>
          <w:szCs w:val="24"/>
          <w:lang w:bidi="hi-IN"/>
        </w:rPr>
        <w:t xml:space="preserve"> Market Orientation: Antecedents and Consequences. Journal of Marketing, 57(3), 53–70. </w:t>
      </w:r>
      <w:hyperlink r:id="rId19" w:history="1">
        <w:r w:rsidRPr="00AC72DE">
          <w:rPr>
            <w:color w:val="000000"/>
            <w:lang w:bidi="hi-IN"/>
          </w:rPr>
          <w:t>https://doi.org/10.1177/002224299305700304</w:t>
        </w:r>
      </w:hyperlink>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Jiang, </w:t>
      </w:r>
      <w:proofErr w:type="spellStart"/>
      <w:r w:rsidRPr="00AC72DE">
        <w:rPr>
          <w:rFonts w:ascii="Times New Roman" w:hAnsi="Times New Roman" w:cs="Times New Roman"/>
          <w:color w:val="000000"/>
          <w:sz w:val="24"/>
          <w:szCs w:val="24"/>
          <w:lang w:bidi="hi-IN"/>
        </w:rPr>
        <w:t>Yisa</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Taiwen</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Feng</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Yufei</w:t>
      </w:r>
      <w:proofErr w:type="spellEnd"/>
      <w:r w:rsidRPr="00AC72DE">
        <w:rPr>
          <w:rFonts w:ascii="Times New Roman" w:hAnsi="Times New Roman" w:cs="Times New Roman"/>
          <w:color w:val="000000"/>
          <w:sz w:val="24"/>
          <w:szCs w:val="24"/>
          <w:lang w:bidi="hi-IN"/>
        </w:rPr>
        <w:t xml:space="preserve"> Huang.</w:t>
      </w:r>
      <w:proofErr w:type="gramEnd"/>
      <w:r w:rsidRPr="00AC72DE">
        <w:rPr>
          <w:rFonts w:ascii="Times New Roman" w:hAnsi="Times New Roman" w:cs="Times New Roman"/>
          <w:color w:val="000000"/>
          <w:sz w:val="24"/>
          <w:szCs w:val="24"/>
          <w:lang w:bidi="hi-IN"/>
        </w:rPr>
        <w:t xml:space="preserve"> “Antecedent Configurations toward Supply Chain Resilience: The Joint Impact of Supply Chain Integration and Big Data Analytics Capability.” Journal of Operations Management 70, no. 2 (March 2024): 257–84. </w:t>
      </w:r>
      <w:hyperlink r:id="rId20" w:history="1">
        <w:r w:rsidRPr="00AC72DE">
          <w:rPr>
            <w:rFonts w:ascii="Times New Roman" w:hAnsi="Times New Roman" w:cs="Times New Roman"/>
            <w:color w:val="000000"/>
            <w:sz w:val="24"/>
            <w:szCs w:val="24"/>
            <w:lang w:bidi="hi-IN"/>
          </w:rPr>
          <w:t>https://doi.org/10.1002/joom.1282</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Johansen, B., &amp; </w:t>
      </w:r>
      <w:proofErr w:type="spellStart"/>
      <w:r w:rsidRPr="00AC72DE">
        <w:rPr>
          <w:rFonts w:ascii="Times New Roman" w:hAnsi="Times New Roman" w:cs="Times New Roman"/>
          <w:color w:val="000000"/>
          <w:sz w:val="24"/>
          <w:szCs w:val="24"/>
          <w:lang w:bidi="hi-IN"/>
        </w:rPr>
        <w:t>Euchner</w:t>
      </w:r>
      <w:proofErr w:type="spellEnd"/>
      <w:r w:rsidRPr="00AC72DE">
        <w:rPr>
          <w:rFonts w:ascii="Times New Roman" w:hAnsi="Times New Roman" w:cs="Times New Roman"/>
          <w:color w:val="000000"/>
          <w:sz w:val="24"/>
          <w:szCs w:val="24"/>
          <w:lang w:bidi="hi-IN"/>
        </w:rPr>
        <w:t>, J. (2013).</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Navigating the VUCA world.</w:t>
      </w:r>
      <w:proofErr w:type="gramEnd"/>
      <w:r w:rsidRPr="00AC72DE">
        <w:rPr>
          <w:rFonts w:ascii="Times New Roman" w:hAnsi="Times New Roman" w:cs="Times New Roman"/>
          <w:color w:val="000000"/>
          <w:sz w:val="24"/>
          <w:szCs w:val="24"/>
          <w:lang w:bidi="hi-IN"/>
        </w:rPr>
        <w:t> Research-Technology Management, 56(1), 10-15.</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181F55">
        <w:rPr>
          <w:rFonts w:ascii="Times New Roman" w:hAnsi="Times New Roman" w:cs="Times New Roman"/>
          <w:color w:val="000000"/>
          <w:sz w:val="24"/>
          <w:szCs w:val="24"/>
          <w:lang w:bidi="hi-IN"/>
        </w:rPr>
        <w:t xml:space="preserve">Jordan, Peter J, and </w:t>
      </w:r>
      <w:proofErr w:type="spellStart"/>
      <w:r w:rsidRPr="00181F55">
        <w:rPr>
          <w:rFonts w:ascii="Times New Roman" w:hAnsi="Times New Roman" w:cs="Times New Roman"/>
          <w:color w:val="000000"/>
          <w:sz w:val="24"/>
          <w:szCs w:val="24"/>
          <w:lang w:bidi="hi-IN"/>
        </w:rPr>
        <w:t>Ashlea</w:t>
      </w:r>
      <w:proofErr w:type="spellEnd"/>
      <w:r w:rsidRPr="00181F55">
        <w:rPr>
          <w:rFonts w:ascii="Times New Roman" w:hAnsi="Times New Roman" w:cs="Times New Roman"/>
          <w:color w:val="000000"/>
          <w:sz w:val="24"/>
          <w:szCs w:val="24"/>
          <w:lang w:bidi="hi-IN"/>
        </w:rPr>
        <w:t xml:space="preserve"> C Troth.</w:t>
      </w:r>
      <w:proofErr w:type="gramEnd"/>
      <w:r w:rsidRPr="00181F55">
        <w:rPr>
          <w:rFonts w:ascii="Times New Roman" w:hAnsi="Times New Roman" w:cs="Times New Roman"/>
          <w:color w:val="000000"/>
          <w:sz w:val="24"/>
          <w:szCs w:val="24"/>
          <w:lang w:bidi="hi-IN"/>
        </w:rPr>
        <w:t xml:space="preserve"> “Common Method Bias in Applied Settings: The Dilemma of Researching in Organizations.” Australian Journal of Management 45, no. 1 (February 2020): 3–14. </w:t>
      </w:r>
      <w:hyperlink r:id="rId21" w:history="1">
        <w:r w:rsidRPr="00AC72DE">
          <w:rPr>
            <w:rFonts w:ascii="Times New Roman" w:hAnsi="Times New Roman" w:cs="Times New Roman"/>
            <w:color w:val="000000"/>
            <w:sz w:val="24"/>
            <w:szCs w:val="24"/>
            <w:lang w:bidi="hi-IN"/>
          </w:rPr>
          <w:t>https://doi.org/10.1177/0312896219871976</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lastRenderedPageBreak/>
        <w:t>Kähkönen</w:t>
      </w:r>
      <w:proofErr w:type="spellEnd"/>
      <w:r w:rsidRPr="00AC72DE">
        <w:rPr>
          <w:rFonts w:ascii="Times New Roman" w:hAnsi="Times New Roman" w:cs="Times New Roman"/>
          <w:color w:val="000000"/>
          <w:sz w:val="24"/>
          <w:szCs w:val="24"/>
          <w:lang w:bidi="hi-IN"/>
        </w:rPr>
        <w:t xml:space="preserve">, A.-K., Evangelista, P., </w:t>
      </w:r>
      <w:proofErr w:type="spellStart"/>
      <w:r w:rsidRPr="00AC72DE">
        <w:rPr>
          <w:rFonts w:ascii="Times New Roman" w:hAnsi="Times New Roman" w:cs="Times New Roman"/>
          <w:color w:val="000000"/>
          <w:sz w:val="24"/>
          <w:szCs w:val="24"/>
          <w:lang w:bidi="hi-IN"/>
        </w:rPr>
        <w:t>Hallikas</w:t>
      </w:r>
      <w:proofErr w:type="spellEnd"/>
      <w:r w:rsidRPr="00AC72DE">
        <w:rPr>
          <w:rFonts w:ascii="Times New Roman" w:hAnsi="Times New Roman" w:cs="Times New Roman"/>
          <w:color w:val="000000"/>
          <w:sz w:val="24"/>
          <w:szCs w:val="24"/>
          <w:lang w:bidi="hi-IN"/>
        </w:rPr>
        <w:t xml:space="preserve">, J., </w:t>
      </w:r>
      <w:proofErr w:type="spellStart"/>
      <w:r w:rsidRPr="00AC72DE">
        <w:rPr>
          <w:rFonts w:ascii="Times New Roman" w:hAnsi="Times New Roman" w:cs="Times New Roman"/>
          <w:color w:val="000000"/>
          <w:sz w:val="24"/>
          <w:szCs w:val="24"/>
          <w:lang w:bidi="hi-IN"/>
        </w:rPr>
        <w:t>Immonen</w:t>
      </w:r>
      <w:proofErr w:type="spellEnd"/>
      <w:r w:rsidRPr="00AC72DE">
        <w:rPr>
          <w:rFonts w:ascii="Times New Roman" w:hAnsi="Times New Roman" w:cs="Times New Roman"/>
          <w:color w:val="000000"/>
          <w:sz w:val="24"/>
          <w:szCs w:val="24"/>
          <w:lang w:bidi="hi-IN"/>
        </w:rPr>
        <w:t xml:space="preserve">, M. and </w:t>
      </w:r>
      <w:proofErr w:type="spellStart"/>
      <w:r w:rsidRPr="00AC72DE">
        <w:rPr>
          <w:rFonts w:ascii="Times New Roman" w:hAnsi="Times New Roman" w:cs="Times New Roman"/>
          <w:color w:val="000000"/>
          <w:sz w:val="24"/>
          <w:szCs w:val="24"/>
          <w:lang w:bidi="hi-IN"/>
        </w:rPr>
        <w:t>Lintukangas</w:t>
      </w:r>
      <w:proofErr w:type="spellEnd"/>
      <w:r w:rsidRPr="00AC72DE">
        <w:rPr>
          <w:rFonts w:ascii="Times New Roman" w:hAnsi="Times New Roman" w:cs="Times New Roman"/>
          <w:color w:val="000000"/>
          <w:sz w:val="24"/>
          <w:szCs w:val="24"/>
          <w:lang w:bidi="hi-IN"/>
        </w:rPr>
        <w:t xml:space="preserve">, K. (2023), “COVID-19 as a trigger for dynamic capability development and supply chain resilience improvement”, International Journal of Production </w:t>
      </w:r>
      <w:proofErr w:type="spellStart"/>
      <w:r w:rsidRPr="00AC72DE">
        <w:rPr>
          <w:rFonts w:ascii="Times New Roman" w:hAnsi="Times New Roman" w:cs="Times New Roman"/>
          <w:color w:val="000000"/>
          <w:sz w:val="24"/>
          <w:szCs w:val="24"/>
          <w:lang w:bidi="hi-IN"/>
        </w:rPr>
        <w:t>Research</w:t>
      </w:r>
      <w:proofErr w:type="gramStart"/>
      <w:r w:rsidRPr="00AC72DE">
        <w:rPr>
          <w:rFonts w:ascii="Times New Roman" w:hAnsi="Times New Roman" w:cs="Times New Roman"/>
          <w:color w:val="000000"/>
          <w:sz w:val="24"/>
          <w:szCs w:val="24"/>
          <w:lang w:bidi="hi-IN"/>
        </w:rPr>
        <w:t>,Taylor</w:t>
      </w:r>
      <w:proofErr w:type="spellEnd"/>
      <w:proofErr w:type="gramEnd"/>
      <w:r w:rsidRPr="00AC72DE">
        <w:rPr>
          <w:rFonts w:ascii="Times New Roman" w:hAnsi="Times New Roman" w:cs="Times New Roman"/>
          <w:color w:val="000000"/>
          <w:sz w:val="24"/>
          <w:szCs w:val="24"/>
          <w:lang w:bidi="hi-IN"/>
        </w:rPr>
        <w:t xml:space="preserve"> &amp; Francis, Vol. 61 No. 8, pp. 2696-2715, doi:10.1080/00207543.2021.2009588.</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Kane, G. C., Palmer, D., Phillips, A. N., </w:t>
      </w:r>
      <w:proofErr w:type="spellStart"/>
      <w:r w:rsidRPr="00AC72DE">
        <w:rPr>
          <w:rFonts w:ascii="Times New Roman" w:hAnsi="Times New Roman" w:cs="Times New Roman"/>
          <w:color w:val="000000"/>
          <w:sz w:val="24"/>
          <w:szCs w:val="24"/>
          <w:lang w:bidi="hi-IN"/>
        </w:rPr>
        <w:t>Kiron</w:t>
      </w:r>
      <w:proofErr w:type="spellEnd"/>
      <w:r w:rsidRPr="00AC72DE">
        <w:rPr>
          <w:rFonts w:ascii="Times New Roman" w:hAnsi="Times New Roman" w:cs="Times New Roman"/>
          <w:color w:val="000000"/>
          <w:sz w:val="24"/>
          <w:szCs w:val="24"/>
          <w:lang w:bidi="hi-IN"/>
        </w:rPr>
        <w:t>, D., &amp; Buckley, N. (2015).</w:t>
      </w:r>
      <w:proofErr w:type="gramEnd"/>
      <w:r w:rsidRPr="00AC72DE">
        <w:rPr>
          <w:rFonts w:ascii="Times New Roman" w:hAnsi="Times New Roman" w:cs="Times New Roman"/>
          <w:color w:val="000000"/>
          <w:sz w:val="24"/>
          <w:szCs w:val="24"/>
          <w:lang w:bidi="hi-IN"/>
        </w:rPr>
        <w:t xml:space="preserve"> </w:t>
      </w:r>
      <w:r w:rsidRPr="00AC72DE">
        <w:rPr>
          <w:i/>
          <w:iCs/>
          <w:color w:val="000000"/>
          <w:lang w:bidi="hi-IN"/>
        </w:rPr>
        <w:t>Strategy, not technology, drives digital transformation</w:t>
      </w:r>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MIT Sloan Management Review and Deloitte University Press.</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356-365.</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Karimi</w:t>
      </w:r>
      <w:proofErr w:type="spellEnd"/>
      <w:r w:rsidRPr="00AC72DE">
        <w:rPr>
          <w:rFonts w:ascii="Times New Roman" w:hAnsi="Times New Roman" w:cs="Times New Roman"/>
          <w:color w:val="000000"/>
          <w:sz w:val="24"/>
          <w:szCs w:val="24"/>
          <w:lang w:bidi="hi-IN"/>
        </w:rPr>
        <w:t>, J., &amp; Walter, Z. (2015).</w:t>
      </w:r>
      <w:proofErr w:type="gramEnd"/>
      <w:r w:rsidRPr="00AC72DE">
        <w:rPr>
          <w:rFonts w:ascii="Times New Roman" w:hAnsi="Times New Roman" w:cs="Times New Roman"/>
          <w:color w:val="000000"/>
          <w:sz w:val="24"/>
          <w:szCs w:val="24"/>
          <w:lang w:bidi="hi-IN"/>
        </w:rPr>
        <w:t xml:space="preserve"> The role of dynamic capabilities in responding to digital disruption: A factor-based study of the newspaper industry. </w:t>
      </w:r>
      <w:proofErr w:type="gramStart"/>
      <w:r w:rsidRPr="00AC72DE">
        <w:rPr>
          <w:rFonts w:ascii="Times New Roman" w:hAnsi="Times New Roman" w:cs="Times New Roman"/>
          <w:color w:val="000000"/>
          <w:sz w:val="24"/>
          <w:szCs w:val="24"/>
          <w:lang w:bidi="hi-IN"/>
        </w:rPr>
        <w:t>Journal of management information systems, 32(1), 39-81.</w:t>
      </w:r>
      <w:proofErr w:type="gramEnd"/>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Kő</w:t>
      </w:r>
      <w:proofErr w:type="spellEnd"/>
      <w:r w:rsidRPr="00AC72DE">
        <w:rPr>
          <w:rFonts w:ascii="Times New Roman" w:hAnsi="Times New Roman" w:cs="Times New Roman"/>
          <w:color w:val="000000"/>
          <w:sz w:val="24"/>
          <w:szCs w:val="24"/>
          <w:lang w:bidi="hi-IN"/>
        </w:rPr>
        <w:t xml:space="preserve">, A., </w:t>
      </w:r>
      <w:proofErr w:type="spellStart"/>
      <w:r w:rsidRPr="00AC72DE">
        <w:rPr>
          <w:rFonts w:ascii="Times New Roman" w:hAnsi="Times New Roman" w:cs="Times New Roman"/>
          <w:color w:val="000000"/>
          <w:sz w:val="24"/>
          <w:szCs w:val="24"/>
          <w:lang w:bidi="hi-IN"/>
        </w:rPr>
        <w:t>Mitev</w:t>
      </w:r>
      <w:proofErr w:type="spellEnd"/>
      <w:r w:rsidRPr="00AC72DE">
        <w:rPr>
          <w:rFonts w:ascii="Times New Roman" w:hAnsi="Times New Roman" w:cs="Times New Roman"/>
          <w:color w:val="000000"/>
          <w:sz w:val="24"/>
          <w:szCs w:val="24"/>
          <w:lang w:bidi="hi-IN"/>
        </w:rPr>
        <w:t xml:space="preserve">, A., </w:t>
      </w:r>
      <w:proofErr w:type="spellStart"/>
      <w:r w:rsidRPr="00AC72DE">
        <w:rPr>
          <w:rFonts w:ascii="Times New Roman" w:hAnsi="Times New Roman" w:cs="Times New Roman"/>
          <w:color w:val="000000"/>
          <w:sz w:val="24"/>
          <w:szCs w:val="24"/>
          <w:lang w:bidi="hi-IN"/>
        </w:rPr>
        <w:t>Fehér</w:t>
      </w:r>
      <w:proofErr w:type="spellEnd"/>
      <w:r w:rsidRPr="00AC72DE">
        <w:rPr>
          <w:rFonts w:ascii="Times New Roman" w:hAnsi="Times New Roman" w:cs="Times New Roman"/>
          <w:color w:val="000000"/>
          <w:sz w:val="24"/>
          <w:szCs w:val="24"/>
          <w:lang w:bidi="hi-IN"/>
        </w:rPr>
        <w:t xml:space="preserve">, P., &amp; </w:t>
      </w:r>
      <w:proofErr w:type="spellStart"/>
      <w:r w:rsidRPr="00AC72DE">
        <w:rPr>
          <w:rFonts w:ascii="Times New Roman" w:hAnsi="Times New Roman" w:cs="Times New Roman"/>
          <w:color w:val="000000"/>
          <w:sz w:val="24"/>
          <w:szCs w:val="24"/>
          <w:lang w:bidi="hi-IN"/>
        </w:rPr>
        <w:t>Szabó</w:t>
      </w:r>
      <w:proofErr w:type="spellEnd"/>
      <w:r w:rsidRPr="00AC72DE">
        <w:rPr>
          <w:rFonts w:ascii="Times New Roman" w:hAnsi="Times New Roman" w:cs="Times New Roman"/>
          <w:color w:val="000000"/>
          <w:sz w:val="24"/>
          <w:szCs w:val="24"/>
          <w:lang w:bidi="hi-IN"/>
        </w:rPr>
        <w:t xml:space="preserve">, Z. (2023). </w:t>
      </w:r>
      <w:proofErr w:type="gramStart"/>
      <w:r w:rsidRPr="00AC72DE">
        <w:rPr>
          <w:rFonts w:ascii="Times New Roman" w:hAnsi="Times New Roman" w:cs="Times New Roman"/>
          <w:color w:val="000000"/>
          <w:sz w:val="24"/>
          <w:szCs w:val="24"/>
          <w:lang w:bidi="hi-IN"/>
        </w:rPr>
        <w:t>Digital Agility, Digital Competitiveness, and Innovative Performance of SMEs.</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Journal of Competitiveness, 14(4).</w:t>
      </w:r>
      <w:proofErr w:type="gramEnd"/>
      <w:r w:rsidRPr="00AC72DE">
        <w:rPr>
          <w:rFonts w:ascii="Times New Roman" w:hAnsi="Times New Roman" w:cs="Times New Roman"/>
          <w:color w:val="000000"/>
          <w:sz w:val="24"/>
          <w:szCs w:val="24"/>
          <w:lang w:bidi="hi-IN"/>
        </w:rPr>
        <w:t xml:space="preserve"> https://doi.org/10.7441/joc.2022.04.05</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Kohli</w:t>
      </w:r>
      <w:proofErr w:type="spellEnd"/>
      <w:r w:rsidRPr="00AC72DE">
        <w:rPr>
          <w:rFonts w:ascii="Times New Roman" w:hAnsi="Times New Roman" w:cs="Times New Roman"/>
          <w:color w:val="000000"/>
          <w:sz w:val="24"/>
          <w:szCs w:val="24"/>
          <w:lang w:bidi="hi-IN"/>
        </w:rPr>
        <w:t xml:space="preserve"> Rajiv, </w:t>
      </w:r>
      <w:proofErr w:type="spellStart"/>
      <w:r w:rsidRPr="00AC72DE">
        <w:rPr>
          <w:rFonts w:ascii="Times New Roman" w:hAnsi="Times New Roman" w:cs="Times New Roman"/>
          <w:color w:val="000000"/>
          <w:sz w:val="24"/>
          <w:szCs w:val="24"/>
          <w:lang w:bidi="hi-IN"/>
        </w:rPr>
        <w:t>Varun</w:t>
      </w:r>
      <w:proofErr w:type="spellEnd"/>
      <w:r w:rsidRPr="00AC72DE">
        <w:rPr>
          <w:rFonts w:ascii="Times New Roman" w:hAnsi="Times New Roman" w:cs="Times New Roman"/>
          <w:color w:val="000000"/>
          <w:sz w:val="24"/>
          <w:szCs w:val="24"/>
          <w:lang w:bidi="hi-IN"/>
        </w:rPr>
        <w:t xml:space="preserve"> Grover, and Clemson University, USA.</w:t>
      </w:r>
      <w:proofErr w:type="gramEnd"/>
      <w:r w:rsidRPr="00AC72DE">
        <w:rPr>
          <w:rFonts w:ascii="Times New Roman" w:hAnsi="Times New Roman" w:cs="Times New Roman"/>
          <w:color w:val="000000"/>
          <w:sz w:val="24"/>
          <w:szCs w:val="24"/>
          <w:lang w:bidi="hi-IN"/>
        </w:rPr>
        <w:t xml:space="preserve"> “Business Value of IT: An Essay on Expanding Research Directions to </w:t>
      </w:r>
      <w:proofErr w:type="gramStart"/>
      <w:r w:rsidRPr="00AC72DE">
        <w:rPr>
          <w:rFonts w:ascii="Times New Roman" w:hAnsi="Times New Roman" w:cs="Times New Roman"/>
          <w:color w:val="000000"/>
          <w:sz w:val="24"/>
          <w:szCs w:val="24"/>
          <w:lang w:bidi="hi-IN"/>
        </w:rPr>
        <w:t>Keep</w:t>
      </w:r>
      <w:proofErr w:type="gramEnd"/>
      <w:r w:rsidRPr="00AC72DE">
        <w:rPr>
          <w:rFonts w:ascii="Times New Roman" w:hAnsi="Times New Roman" w:cs="Times New Roman"/>
          <w:color w:val="000000"/>
          <w:sz w:val="24"/>
          <w:szCs w:val="24"/>
          <w:lang w:bidi="hi-IN"/>
        </w:rPr>
        <w:t xml:space="preserve"> up with the Times.” Journal of the Association for Information Systems 9, no. 1 (January 2008): 23–39. </w:t>
      </w:r>
      <w:hyperlink r:id="rId22" w:history="1">
        <w:r w:rsidRPr="00AC72DE">
          <w:rPr>
            <w:rFonts w:ascii="Times New Roman" w:hAnsi="Times New Roman" w:cs="Times New Roman"/>
            <w:color w:val="000000"/>
            <w:sz w:val="24"/>
            <w:szCs w:val="24"/>
            <w:lang w:bidi="hi-IN"/>
          </w:rPr>
          <w:t>https://doi.org/10.17705/1jais.00147</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181F55">
        <w:rPr>
          <w:rFonts w:ascii="Times New Roman" w:hAnsi="Times New Roman" w:cs="Times New Roman"/>
          <w:color w:val="000000"/>
          <w:sz w:val="24"/>
          <w:szCs w:val="24"/>
          <w:lang w:bidi="hi-IN"/>
        </w:rPr>
        <w:t>Kock</w:t>
      </w:r>
      <w:proofErr w:type="spellEnd"/>
      <w:r w:rsidRPr="00181F55">
        <w:rPr>
          <w:rFonts w:ascii="Times New Roman" w:hAnsi="Times New Roman" w:cs="Times New Roman"/>
          <w:color w:val="000000"/>
          <w:sz w:val="24"/>
          <w:szCs w:val="24"/>
          <w:lang w:bidi="hi-IN"/>
        </w:rPr>
        <w:t xml:space="preserve">, Ned. “Common Method Bias in PLS-SEM: A Full </w:t>
      </w:r>
      <w:proofErr w:type="spellStart"/>
      <w:r w:rsidRPr="00181F55">
        <w:rPr>
          <w:rFonts w:ascii="Times New Roman" w:hAnsi="Times New Roman" w:cs="Times New Roman"/>
          <w:color w:val="000000"/>
          <w:sz w:val="24"/>
          <w:szCs w:val="24"/>
          <w:lang w:bidi="hi-IN"/>
        </w:rPr>
        <w:t>Collinearity</w:t>
      </w:r>
      <w:proofErr w:type="spellEnd"/>
      <w:r w:rsidRPr="00181F55">
        <w:rPr>
          <w:rFonts w:ascii="Times New Roman" w:hAnsi="Times New Roman" w:cs="Times New Roman"/>
          <w:color w:val="000000"/>
          <w:sz w:val="24"/>
          <w:szCs w:val="24"/>
          <w:lang w:bidi="hi-IN"/>
        </w:rPr>
        <w:t xml:space="preserve"> Assessment Approach.” International Journal of E-Collaboration 11, no. 4 (October 1, 2015): 1–10. </w:t>
      </w:r>
      <w:hyperlink r:id="rId23" w:history="1">
        <w:r w:rsidRPr="00AC72DE">
          <w:rPr>
            <w:rFonts w:ascii="Times New Roman" w:hAnsi="Times New Roman" w:cs="Times New Roman"/>
            <w:color w:val="000000"/>
            <w:sz w:val="24"/>
            <w:szCs w:val="24"/>
            <w:lang w:bidi="hi-IN"/>
          </w:rPr>
          <w:t>https://doi.org/10.4018/ijec.2015100101</w:t>
        </w:r>
      </w:hyperlink>
      <w:r w:rsidRPr="00181F55">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181F55">
        <w:rPr>
          <w:rFonts w:ascii="Times New Roman" w:hAnsi="Times New Roman" w:cs="Times New Roman"/>
          <w:color w:val="000000"/>
          <w:sz w:val="24"/>
          <w:szCs w:val="24"/>
          <w:lang w:bidi="hi-IN"/>
        </w:rPr>
        <w:t>Kock</w:t>
      </w:r>
      <w:proofErr w:type="spellEnd"/>
      <w:r w:rsidRPr="00181F55">
        <w:rPr>
          <w:rFonts w:ascii="Times New Roman" w:hAnsi="Times New Roman" w:cs="Times New Roman"/>
          <w:color w:val="000000"/>
          <w:sz w:val="24"/>
          <w:szCs w:val="24"/>
          <w:lang w:bidi="hi-IN"/>
        </w:rPr>
        <w:t xml:space="preserve">, Ned. “From Composites to Factors: B </w:t>
      </w:r>
      <w:proofErr w:type="spellStart"/>
      <w:r w:rsidRPr="00181F55">
        <w:rPr>
          <w:rFonts w:ascii="Times New Roman" w:hAnsi="Times New Roman" w:cs="Times New Roman"/>
          <w:color w:val="000000"/>
          <w:sz w:val="24"/>
          <w:szCs w:val="24"/>
          <w:lang w:bidi="hi-IN"/>
        </w:rPr>
        <w:t>Ridging</w:t>
      </w:r>
      <w:proofErr w:type="spellEnd"/>
      <w:r w:rsidRPr="00181F55">
        <w:rPr>
          <w:rFonts w:ascii="Times New Roman" w:hAnsi="Times New Roman" w:cs="Times New Roman"/>
          <w:color w:val="000000"/>
          <w:sz w:val="24"/>
          <w:szCs w:val="24"/>
          <w:lang w:bidi="hi-IN"/>
        </w:rPr>
        <w:t xml:space="preserve"> the Gap between PLS and Covariance‐based Structural Equation Modelling.” Information Systems Journal 29, no. 3 (May 2019): 674–706. </w:t>
      </w:r>
      <w:hyperlink r:id="rId24" w:history="1">
        <w:r w:rsidRPr="00AC72DE">
          <w:rPr>
            <w:rFonts w:ascii="Times New Roman" w:hAnsi="Times New Roman" w:cs="Times New Roman"/>
            <w:color w:val="000000"/>
            <w:sz w:val="24"/>
            <w:szCs w:val="24"/>
            <w:lang w:bidi="hi-IN"/>
          </w:rPr>
          <w:t>https://doi.org/10.1111/isj.12228</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181F55">
        <w:rPr>
          <w:rFonts w:ascii="Times New Roman" w:hAnsi="Times New Roman" w:cs="Times New Roman"/>
          <w:color w:val="000000"/>
          <w:sz w:val="24"/>
          <w:szCs w:val="24"/>
          <w:lang w:bidi="hi-IN"/>
        </w:rPr>
        <w:t xml:space="preserve">Kraus, </w:t>
      </w:r>
      <w:proofErr w:type="spellStart"/>
      <w:r w:rsidRPr="00181F55">
        <w:rPr>
          <w:rFonts w:ascii="Times New Roman" w:hAnsi="Times New Roman" w:cs="Times New Roman"/>
          <w:color w:val="000000"/>
          <w:sz w:val="24"/>
          <w:szCs w:val="24"/>
          <w:lang w:bidi="hi-IN"/>
        </w:rPr>
        <w:t>Sascha</w:t>
      </w:r>
      <w:proofErr w:type="spellEnd"/>
      <w:r w:rsidRPr="00181F55">
        <w:rPr>
          <w:rFonts w:ascii="Times New Roman" w:hAnsi="Times New Roman" w:cs="Times New Roman"/>
          <w:color w:val="000000"/>
          <w:sz w:val="24"/>
          <w:szCs w:val="24"/>
          <w:lang w:bidi="hi-IN"/>
        </w:rPr>
        <w:t xml:space="preserve">, Paul Jones, Norbert </w:t>
      </w:r>
      <w:proofErr w:type="spellStart"/>
      <w:r w:rsidRPr="00181F55">
        <w:rPr>
          <w:rFonts w:ascii="Times New Roman" w:hAnsi="Times New Roman" w:cs="Times New Roman"/>
          <w:color w:val="000000"/>
          <w:sz w:val="24"/>
          <w:szCs w:val="24"/>
          <w:lang w:bidi="hi-IN"/>
        </w:rPr>
        <w:t>Kailer</w:t>
      </w:r>
      <w:proofErr w:type="spellEnd"/>
      <w:r w:rsidRPr="00181F55">
        <w:rPr>
          <w:rFonts w:ascii="Times New Roman" w:hAnsi="Times New Roman" w:cs="Times New Roman"/>
          <w:color w:val="000000"/>
          <w:sz w:val="24"/>
          <w:szCs w:val="24"/>
          <w:lang w:bidi="hi-IN"/>
        </w:rPr>
        <w:t xml:space="preserve">, Alexandra </w:t>
      </w:r>
      <w:proofErr w:type="spellStart"/>
      <w:r w:rsidRPr="00181F55">
        <w:rPr>
          <w:rFonts w:ascii="Times New Roman" w:hAnsi="Times New Roman" w:cs="Times New Roman"/>
          <w:color w:val="000000"/>
          <w:sz w:val="24"/>
          <w:szCs w:val="24"/>
          <w:lang w:bidi="hi-IN"/>
        </w:rPr>
        <w:t>Weinmann</w:t>
      </w:r>
      <w:proofErr w:type="spellEnd"/>
      <w:r w:rsidRPr="00181F55">
        <w:rPr>
          <w:rFonts w:ascii="Times New Roman" w:hAnsi="Times New Roman" w:cs="Times New Roman"/>
          <w:color w:val="000000"/>
          <w:sz w:val="24"/>
          <w:szCs w:val="24"/>
          <w:lang w:bidi="hi-IN"/>
        </w:rPr>
        <w:t xml:space="preserve">, </w:t>
      </w:r>
      <w:proofErr w:type="spellStart"/>
      <w:r w:rsidRPr="00181F55">
        <w:rPr>
          <w:rFonts w:ascii="Times New Roman" w:hAnsi="Times New Roman" w:cs="Times New Roman"/>
          <w:color w:val="000000"/>
          <w:sz w:val="24"/>
          <w:szCs w:val="24"/>
          <w:lang w:bidi="hi-IN"/>
        </w:rPr>
        <w:t>Nuria</w:t>
      </w:r>
      <w:proofErr w:type="spellEnd"/>
      <w:r w:rsidRPr="00181F55">
        <w:rPr>
          <w:rFonts w:ascii="Times New Roman" w:hAnsi="Times New Roman" w:cs="Times New Roman"/>
          <w:color w:val="000000"/>
          <w:sz w:val="24"/>
          <w:szCs w:val="24"/>
          <w:lang w:bidi="hi-IN"/>
        </w:rPr>
        <w:t xml:space="preserve"> </w:t>
      </w:r>
      <w:proofErr w:type="spellStart"/>
      <w:r w:rsidRPr="00181F55">
        <w:rPr>
          <w:rFonts w:ascii="Times New Roman" w:hAnsi="Times New Roman" w:cs="Times New Roman"/>
          <w:color w:val="000000"/>
          <w:sz w:val="24"/>
          <w:szCs w:val="24"/>
          <w:lang w:bidi="hi-IN"/>
        </w:rPr>
        <w:t>Chaparro-Banegas</w:t>
      </w:r>
      <w:proofErr w:type="spellEnd"/>
      <w:r w:rsidRPr="00181F55">
        <w:rPr>
          <w:rFonts w:ascii="Times New Roman" w:hAnsi="Times New Roman" w:cs="Times New Roman"/>
          <w:color w:val="000000"/>
          <w:sz w:val="24"/>
          <w:szCs w:val="24"/>
          <w:lang w:bidi="hi-IN"/>
        </w:rPr>
        <w:t xml:space="preserve">, and </w:t>
      </w:r>
      <w:proofErr w:type="spellStart"/>
      <w:r w:rsidRPr="00181F55">
        <w:rPr>
          <w:rFonts w:ascii="Times New Roman" w:hAnsi="Times New Roman" w:cs="Times New Roman"/>
          <w:color w:val="000000"/>
          <w:sz w:val="24"/>
          <w:szCs w:val="24"/>
          <w:lang w:bidi="hi-IN"/>
        </w:rPr>
        <w:t>Norat</w:t>
      </w:r>
      <w:proofErr w:type="spellEnd"/>
      <w:r w:rsidRPr="00181F55">
        <w:rPr>
          <w:rFonts w:ascii="Times New Roman" w:hAnsi="Times New Roman" w:cs="Times New Roman"/>
          <w:color w:val="000000"/>
          <w:sz w:val="24"/>
          <w:szCs w:val="24"/>
          <w:lang w:bidi="hi-IN"/>
        </w:rPr>
        <w:t xml:space="preserve"> </w:t>
      </w:r>
      <w:proofErr w:type="spellStart"/>
      <w:r w:rsidRPr="00181F55">
        <w:rPr>
          <w:rFonts w:ascii="Times New Roman" w:hAnsi="Times New Roman" w:cs="Times New Roman"/>
          <w:color w:val="000000"/>
          <w:sz w:val="24"/>
          <w:szCs w:val="24"/>
          <w:lang w:bidi="hi-IN"/>
        </w:rPr>
        <w:t>Roig-Tierno</w:t>
      </w:r>
      <w:proofErr w:type="spellEnd"/>
      <w:r w:rsidRPr="00181F55">
        <w:rPr>
          <w:rFonts w:ascii="Times New Roman" w:hAnsi="Times New Roman" w:cs="Times New Roman"/>
          <w:color w:val="000000"/>
          <w:sz w:val="24"/>
          <w:szCs w:val="24"/>
          <w:lang w:bidi="hi-IN"/>
        </w:rPr>
        <w:t>.</w:t>
      </w:r>
      <w:proofErr w:type="gramEnd"/>
      <w:r w:rsidRPr="00181F55">
        <w:rPr>
          <w:rFonts w:ascii="Times New Roman" w:hAnsi="Times New Roman" w:cs="Times New Roman"/>
          <w:color w:val="000000"/>
          <w:sz w:val="24"/>
          <w:szCs w:val="24"/>
          <w:lang w:bidi="hi-IN"/>
        </w:rPr>
        <w:t xml:space="preserve"> “Digital Transformation: An Overview of the Current State of the Art of Research.” Sage Open 11, no. 3 (July 2021): 21582440211047576. </w:t>
      </w:r>
      <w:hyperlink r:id="rId25" w:history="1">
        <w:r w:rsidRPr="00AC72DE">
          <w:rPr>
            <w:rFonts w:ascii="Times New Roman" w:hAnsi="Times New Roman" w:cs="Times New Roman"/>
            <w:color w:val="000000"/>
            <w:sz w:val="24"/>
            <w:szCs w:val="24"/>
            <w:lang w:bidi="hi-IN"/>
          </w:rPr>
          <w:t>https://doi.org/10.1177/21582440211047576</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Kristoffersen</w:t>
      </w:r>
      <w:proofErr w:type="spellEnd"/>
      <w:r w:rsidRPr="00AC72DE">
        <w:rPr>
          <w:rFonts w:ascii="Times New Roman" w:hAnsi="Times New Roman" w:cs="Times New Roman"/>
          <w:color w:val="000000"/>
          <w:sz w:val="24"/>
          <w:szCs w:val="24"/>
          <w:lang w:bidi="hi-IN"/>
        </w:rPr>
        <w:t xml:space="preserve">, E., </w:t>
      </w:r>
      <w:proofErr w:type="spellStart"/>
      <w:r w:rsidRPr="00AC72DE">
        <w:rPr>
          <w:rFonts w:ascii="Times New Roman" w:hAnsi="Times New Roman" w:cs="Times New Roman"/>
          <w:color w:val="000000"/>
          <w:sz w:val="24"/>
          <w:szCs w:val="24"/>
          <w:lang w:bidi="hi-IN"/>
        </w:rPr>
        <w:t>Mikalef</w:t>
      </w:r>
      <w:proofErr w:type="spellEnd"/>
      <w:r w:rsidRPr="00AC72DE">
        <w:rPr>
          <w:rFonts w:ascii="Times New Roman" w:hAnsi="Times New Roman" w:cs="Times New Roman"/>
          <w:color w:val="000000"/>
          <w:sz w:val="24"/>
          <w:szCs w:val="24"/>
          <w:lang w:bidi="hi-IN"/>
        </w:rPr>
        <w:t xml:space="preserve">, P., </w:t>
      </w:r>
      <w:proofErr w:type="spellStart"/>
      <w:r w:rsidRPr="00AC72DE">
        <w:rPr>
          <w:rFonts w:ascii="Times New Roman" w:hAnsi="Times New Roman" w:cs="Times New Roman"/>
          <w:color w:val="000000"/>
          <w:sz w:val="24"/>
          <w:szCs w:val="24"/>
          <w:lang w:bidi="hi-IN"/>
        </w:rPr>
        <w:t>Blomsma</w:t>
      </w:r>
      <w:proofErr w:type="spellEnd"/>
      <w:r w:rsidRPr="00AC72DE">
        <w:rPr>
          <w:rFonts w:ascii="Times New Roman" w:hAnsi="Times New Roman" w:cs="Times New Roman"/>
          <w:color w:val="000000"/>
          <w:sz w:val="24"/>
          <w:szCs w:val="24"/>
          <w:lang w:bidi="hi-IN"/>
        </w:rPr>
        <w:t>, F., &amp; Li, J. (2021).</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The effects of business analytics capability on circular economy implementation, resource orchestration capability, and firm performance.</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International Journal of Production Economics, 239, 108205.</w:t>
      </w:r>
      <w:proofErr w:type="gramEnd"/>
      <w:r w:rsidRPr="00AC72DE">
        <w:rPr>
          <w:rFonts w:ascii="Times New Roman" w:hAnsi="Times New Roman" w:cs="Times New Roman"/>
          <w:color w:val="000000"/>
          <w:sz w:val="24"/>
          <w:szCs w:val="24"/>
          <w:lang w:bidi="hi-IN"/>
        </w:rPr>
        <w:t xml:space="preserve"> </w:t>
      </w:r>
      <w:hyperlink r:id="rId26" w:history="1">
        <w:r w:rsidRPr="00AC72DE">
          <w:rPr>
            <w:color w:val="000000"/>
            <w:lang w:bidi="hi-IN"/>
          </w:rPr>
          <w:t>https://doi.org/10.1016/j.ijpe.2021.108205</w:t>
        </w:r>
      </w:hyperlink>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Lavie</w:t>
      </w:r>
      <w:proofErr w:type="spellEnd"/>
      <w:r w:rsidRPr="00AC72DE">
        <w:rPr>
          <w:rFonts w:ascii="Times New Roman" w:hAnsi="Times New Roman" w:cs="Times New Roman"/>
          <w:color w:val="000000"/>
          <w:sz w:val="24"/>
          <w:szCs w:val="24"/>
          <w:lang w:bidi="hi-IN"/>
        </w:rPr>
        <w:t>, D. (2006). The competitive advantage of interconnected firms: An extension of the resource-based view. </w:t>
      </w:r>
      <w:proofErr w:type="gramStart"/>
      <w:r w:rsidRPr="00AC72DE">
        <w:rPr>
          <w:rFonts w:ascii="Times New Roman" w:hAnsi="Times New Roman" w:cs="Times New Roman"/>
          <w:color w:val="000000"/>
          <w:sz w:val="24"/>
          <w:szCs w:val="24"/>
          <w:lang w:bidi="hi-IN"/>
        </w:rPr>
        <w:t>Academy of management review, 31(3), 638-658.</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Lawrence, P. R., &amp; </w:t>
      </w:r>
      <w:proofErr w:type="spellStart"/>
      <w:r w:rsidRPr="00AC72DE">
        <w:rPr>
          <w:rFonts w:ascii="Times New Roman" w:hAnsi="Times New Roman" w:cs="Times New Roman"/>
          <w:color w:val="000000"/>
          <w:sz w:val="24"/>
          <w:szCs w:val="24"/>
          <w:lang w:bidi="hi-IN"/>
        </w:rPr>
        <w:t>Lorsch</w:t>
      </w:r>
      <w:proofErr w:type="spellEnd"/>
      <w:r w:rsidRPr="00AC72DE">
        <w:rPr>
          <w:rFonts w:ascii="Times New Roman" w:hAnsi="Times New Roman" w:cs="Times New Roman"/>
          <w:color w:val="000000"/>
          <w:sz w:val="24"/>
          <w:szCs w:val="24"/>
          <w:lang w:bidi="hi-IN"/>
        </w:rPr>
        <w:t>, J. W. (1967).</w:t>
      </w:r>
      <w:proofErr w:type="gramEnd"/>
      <w:r w:rsidRPr="00AC72DE">
        <w:rPr>
          <w:rFonts w:ascii="Times New Roman" w:hAnsi="Times New Roman" w:cs="Times New Roman"/>
          <w:color w:val="000000"/>
          <w:sz w:val="24"/>
          <w:szCs w:val="24"/>
          <w:lang w:bidi="hi-IN"/>
        </w:rPr>
        <w:t xml:space="preserve"> </w:t>
      </w:r>
      <w:r w:rsidRPr="00AC72DE">
        <w:rPr>
          <w:i/>
          <w:iCs/>
          <w:color w:val="000000"/>
          <w:lang w:bidi="hi-IN"/>
        </w:rPr>
        <w:t>Organization and Environment: Managing Differentiation and Integration</w:t>
      </w:r>
      <w:r w:rsidRPr="00AC72DE">
        <w:rPr>
          <w:rFonts w:ascii="Times New Roman" w:hAnsi="Times New Roman" w:cs="Times New Roman"/>
          <w:color w:val="000000"/>
          <w:sz w:val="24"/>
          <w:szCs w:val="24"/>
          <w:lang w:bidi="hi-IN"/>
        </w:rPr>
        <w:t>. Boston, MA: Harvard Business School Press.</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Lee, Joyce Yi‐</w:t>
      </w:r>
      <w:proofErr w:type="spellStart"/>
      <w:r w:rsidRPr="00AC72DE">
        <w:rPr>
          <w:rFonts w:ascii="Times New Roman" w:hAnsi="Times New Roman" w:cs="Times New Roman"/>
          <w:color w:val="000000"/>
          <w:sz w:val="24"/>
          <w:szCs w:val="24"/>
          <w:lang w:bidi="hi-IN"/>
        </w:rPr>
        <w:t>Hui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Chih</w:t>
      </w:r>
      <w:proofErr w:type="spellEnd"/>
      <w:r w:rsidRPr="00AC72DE">
        <w:rPr>
          <w:rFonts w:ascii="Times New Roman" w:hAnsi="Times New Roman" w:cs="Times New Roman"/>
          <w:color w:val="000000"/>
          <w:sz w:val="24"/>
          <w:szCs w:val="24"/>
          <w:lang w:bidi="hi-IN"/>
        </w:rPr>
        <w:t xml:space="preserve">‐Yuan Chou, </w:t>
      </w:r>
      <w:proofErr w:type="spellStart"/>
      <w:r w:rsidRPr="00AC72DE">
        <w:rPr>
          <w:rFonts w:ascii="Times New Roman" w:hAnsi="Times New Roman" w:cs="Times New Roman"/>
          <w:color w:val="000000"/>
          <w:sz w:val="24"/>
          <w:szCs w:val="24"/>
          <w:lang w:bidi="hi-IN"/>
        </w:rPr>
        <w:t>Hsin</w:t>
      </w:r>
      <w:proofErr w:type="spellEnd"/>
      <w:r w:rsidRPr="00AC72DE">
        <w:rPr>
          <w:rFonts w:ascii="Times New Roman" w:hAnsi="Times New Roman" w:cs="Times New Roman"/>
          <w:color w:val="000000"/>
          <w:sz w:val="24"/>
          <w:szCs w:val="24"/>
          <w:lang w:bidi="hi-IN"/>
        </w:rPr>
        <w:t>‐Lu Chang, and Carol Hsu.</w:t>
      </w:r>
      <w:proofErr w:type="gramEnd"/>
      <w:r w:rsidRPr="00AC72DE">
        <w:rPr>
          <w:rFonts w:ascii="Times New Roman" w:hAnsi="Times New Roman" w:cs="Times New Roman"/>
          <w:color w:val="000000"/>
          <w:sz w:val="24"/>
          <w:szCs w:val="24"/>
          <w:lang w:bidi="hi-IN"/>
        </w:rPr>
        <w:t xml:space="preserve"> “Building Digital Resilience against Crises: The Case of Taiwan’s COVID ‐19 Pandemic Management.” Information Systems Journal 34, no. 1 (January 2024): 39–79. </w:t>
      </w:r>
      <w:hyperlink r:id="rId27" w:history="1">
        <w:r w:rsidRPr="00AC72DE">
          <w:rPr>
            <w:rFonts w:ascii="Times New Roman" w:hAnsi="Times New Roman" w:cs="Times New Roman"/>
            <w:color w:val="000000"/>
            <w:sz w:val="24"/>
            <w:szCs w:val="24"/>
            <w:lang w:bidi="hi-IN"/>
          </w:rPr>
          <w:t>https://doi.org/10.1111/isj.12471</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lastRenderedPageBreak/>
        <w:t xml:space="preserve">Lee, G., </w:t>
      </w:r>
      <w:proofErr w:type="spellStart"/>
      <w:r w:rsidRPr="00AC72DE">
        <w:rPr>
          <w:rFonts w:ascii="Times New Roman" w:hAnsi="Times New Roman" w:cs="Times New Roman"/>
          <w:color w:val="000000"/>
          <w:sz w:val="24"/>
          <w:szCs w:val="24"/>
          <w:lang w:bidi="hi-IN"/>
        </w:rPr>
        <w:t>DeLone</w:t>
      </w:r>
      <w:proofErr w:type="spellEnd"/>
      <w:r w:rsidRPr="00AC72DE">
        <w:rPr>
          <w:rFonts w:ascii="Times New Roman" w:hAnsi="Times New Roman" w:cs="Times New Roman"/>
          <w:color w:val="000000"/>
          <w:sz w:val="24"/>
          <w:szCs w:val="24"/>
          <w:lang w:bidi="hi-IN"/>
        </w:rPr>
        <w:t>, W. H., &amp; Espinosa, J. A. (2010).</w:t>
      </w:r>
      <w:proofErr w:type="gramEnd"/>
      <w:r w:rsidRPr="00AC72DE">
        <w:rPr>
          <w:rFonts w:ascii="Times New Roman" w:hAnsi="Times New Roman" w:cs="Times New Roman"/>
          <w:color w:val="000000"/>
          <w:sz w:val="24"/>
          <w:szCs w:val="24"/>
          <w:lang w:bidi="hi-IN"/>
        </w:rPr>
        <w:t xml:space="preserve"> The main and interaction effects of process rigor, process standardization, and process agility on system performance in distributed IS development: An ambidexterity perspective.</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181F55">
        <w:rPr>
          <w:rFonts w:ascii="Times New Roman" w:hAnsi="Times New Roman" w:cs="Times New Roman"/>
          <w:color w:val="000000"/>
          <w:sz w:val="24"/>
          <w:szCs w:val="24"/>
          <w:lang w:bidi="hi-IN"/>
        </w:rPr>
        <w:t xml:space="preserve">Lee, One-Ki (Daniel), </w:t>
      </w:r>
      <w:proofErr w:type="spellStart"/>
      <w:r w:rsidRPr="00181F55">
        <w:rPr>
          <w:rFonts w:ascii="Times New Roman" w:hAnsi="Times New Roman" w:cs="Times New Roman"/>
          <w:color w:val="000000"/>
          <w:sz w:val="24"/>
          <w:szCs w:val="24"/>
          <w:lang w:bidi="hi-IN"/>
        </w:rPr>
        <w:t>Vallabh</w:t>
      </w:r>
      <w:proofErr w:type="spellEnd"/>
      <w:r w:rsidRPr="00181F55">
        <w:rPr>
          <w:rFonts w:ascii="Times New Roman" w:hAnsi="Times New Roman" w:cs="Times New Roman"/>
          <w:color w:val="000000"/>
          <w:sz w:val="24"/>
          <w:szCs w:val="24"/>
          <w:lang w:bidi="hi-IN"/>
        </w:rPr>
        <w:t xml:space="preserve"> </w:t>
      </w:r>
      <w:proofErr w:type="spellStart"/>
      <w:r w:rsidRPr="00181F55">
        <w:rPr>
          <w:rFonts w:ascii="Times New Roman" w:hAnsi="Times New Roman" w:cs="Times New Roman"/>
          <w:color w:val="000000"/>
          <w:sz w:val="24"/>
          <w:szCs w:val="24"/>
          <w:lang w:bidi="hi-IN"/>
        </w:rPr>
        <w:t>Sambamurthy</w:t>
      </w:r>
      <w:proofErr w:type="spellEnd"/>
      <w:r w:rsidRPr="00181F55">
        <w:rPr>
          <w:rFonts w:ascii="Times New Roman" w:hAnsi="Times New Roman" w:cs="Times New Roman"/>
          <w:color w:val="000000"/>
          <w:sz w:val="24"/>
          <w:szCs w:val="24"/>
          <w:lang w:bidi="hi-IN"/>
        </w:rPr>
        <w:t xml:space="preserve">, Kai H. Lim, and Kwok </w:t>
      </w:r>
      <w:proofErr w:type="spellStart"/>
      <w:r w:rsidRPr="00181F55">
        <w:rPr>
          <w:rFonts w:ascii="Times New Roman" w:hAnsi="Times New Roman" w:cs="Times New Roman"/>
          <w:color w:val="000000"/>
          <w:sz w:val="24"/>
          <w:szCs w:val="24"/>
          <w:lang w:bidi="hi-IN"/>
        </w:rPr>
        <w:t>Kee</w:t>
      </w:r>
      <w:proofErr w:type="spellEnd"/>
      <w:r w:rsidRPr="00181F55">
        <w:rPr>
          <w:rFonts w:ascii="Times New Roman" w:hAnsi="Times New Roman" w:cs="Times New Roman"/>
          <w:color w:val="000000"/>
          <w:sz w:val="24"/>
          <w:szCs w:val="24"/>
          <w:lang w:bidi="hi-IN"/>
        </w:rPr>
        <w:t xml:space="preserve"> Wei.</w:t>
      </w:r>
      <w:proofErr w:type="gramEnd"/>
      <w:r w:rsidRPr="00181F55">
        <w:rPr>
          <w:rFonts w:ascii="Times New Roman" w:hAnsi="Times New Roman" w:cs="Times New Roman"/>
          <w:color w:val="000000"/>
          <w:sz w:val="24"/>
          <w:szCs w:val="24"/>
          <w:lang w:bidi="hi-IN"/>
        </w:rPr>
        <w:t xml:space="preserve"> “How Does </w:t>
      </w:r>
      <w:proofErr w:type="gramStart"/>
      <w:r w:rsidRPr="00181F55">
        <w:rPr>
          <w:rFonts w:ascii="Times New Roman" w:hAnsi="Times New Roman" w:cs="Times New Roman"/>
          <w:color w:val="000000"/>
          <w:sz w:val="24"/>
          <w:szCs w:val="24"/>
          <w:lang w:bidi="hi-IN"/>
        </w:rPr>
        <w:t>IT</w:t>
      </w:r>
      <w:proofErr w:type="gramEnd"/>
      <w:r w:rsidRPr="00181F55">
        <w:rPr>
          <w:rFonts w:ascii="Times New Roman" w:hAnsi="Times New Roman" w:cs="Times New Roman"/>
          <w:color w:val="000000"/>
          <w:sz w:val="24"/>
          <w:szCs w:val="24"/>
          <w:lang w:bidi="hi-IN"/>
        </w:rPr>
        <w:t xml:space="preserve"> Ambidexterity Impact Organizational Agility?” Information Systems Research 26, no. 2 (June 2015): 398–417. </w:t>
      </w:r>
      <w:hyperlink r:id="rId28" w:history="1">
        <w:r w:rsidRPr="00AC72DE">
          <w:rPr>
            <w:rFonts w:ascii="Times New Roman" w:hAnsi="Times New Roman" w:cs="Times New Roman"/>
            <w:color w:val="000000"/>
            <w:sz w:val="24"/>
            <w:szCs w:val="24"/>
            <w:lang w:bidi="hi-IN"/>
          </w:rPr>
          <w:t>https://doi.org/10.1287/isre.2015.0577</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Lengnick</w:t>
      </w:r>
      <w:proofErr w:type="spellEnd"/>
      <w:r w:rsidRPr="00AC72DE">
        <w:rPr>
          <w:rFonts w:ascii="Times New Roman" w:hAnsi="Times New Roman" w:cs="Times New Roman"/>
          <w:color w:val="000000"/>
          <w:sz w:val="24"/>
          <w:szCs w:val="24"/>
          <w:lang w:bidi="hi-IN"/>
        </w:rPr>
        <w:t xml:space="preserve">-Hall, Cynthia A., Tammy E. Beck, and Mark L. </w:t>
      </w:r>
      <w:proofErr w:type="spellStart"/>
      <w:r w:rsidRPr="00AC72DE">
        <w:rPr>
          <w:rFonts w:ascii="Times New Roman" w:hAnsi="Times New Roman" w:cs="Times New Roman"/>
          <w:color w:val="000000"/>
          <w:sz w:val="24"/>
          <w:szCs w:val="24"/>
          <w:lang w:bidi="hi-IN"/>
        </w:rPr>
        <w:t>Lengnick</w:t>
      </w:r>
      <w:proofErr w:type="spellEnd"/>
      <w:r w:rsidRPr="00AC72DE">
        <w:rPr>
          <w:rFonts w:ascii="Times New Roman" w:hAnsi="Times New Roman" w:cs="Times New Roman"/>
          <w:color w:val="000000"/>
          <w:sz w:val="24"/>
          <w:szCs w:val="24"/>
          <w:lang w:bidi="hi-IN"/>
        </w:rPr>
        <w:t>-Hall.</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“Developing a Capacity for Organizational Resilience through Strategic Human Resource Management.”</w:t>
      </w:r>
      <w:proofErr w:type="gramEnd"/>
      <w:r w:rsidRPr="00AC72DE">
        <w:rPr>
          <w:rFonts w:ascii="Times New Roman" w:hAnsi="Times New Roman" w:cs="Times New Roman"/>
          <w:color w:val="000000"/>
          <w:sz w:val="24"/>
          <w:szCs w:val="24"/>
          <w:lang w:bidi="hi-IN"/>
        </w:rPr>
        <w:t xml:space="preserve"> Human Resource Management Review 21, no. 3 (September 2011): 243–55. </w:t>
      </w:r>
      <w:hyperlink r:id="rId29" w:history="1">
        <w:r w:rsidRPr="00AC72DE">
          <w:rPr>
            <w:rFonts w:ascii="Times New Roman" w:hAnsi="Times New Roman" w:cs="Times New Roman"/>
            <w:color w:val="000000"/>
            <w:sz w:val="24"/>
            <w:szCs w:val="24"/>
            <w:lang w:bidi="hi-IN"/>
          </w:rPr>
          <w:t>https://doi.org/10.1016/j.hrmr.2010.07.001</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Liang, </w:t>
      </w:r>
      <w:proofErr w:type="spellStart"/>
      <w:r w:rsidRPr="00AC72DE">
        <w:rPr>
          <w:rFonts w:ascii="Times New Roman" w:hAnsi="Times New Roman" w:cs="Times New Roman"/>
          <w:color w:val="000000"/>
          <w:sz w:val="24"/>
          <w:szCs w:val="24"/>
          <w:lang w:bidi="hi-IN"/>
        </w:rPr>
        <w:t>Huigang</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Nianxin</w:t>
      </w:r>
      <w:proofErr w:type="spellEnd"/>
      <w:r w:rsidRPr="00AC72DE">
        <w:rPr>
          <w:rFonts w:ascii="Times New Roman" w:hAnsi="Times New Roman" w:cs="Times New Roman"/>
          <w:color w:val="000000"/>
          <w:sz w:val="24"/>
          <w:szCs w:val="24"/>
          <w:lang w:bidi="hi-IN"/>
        </w:rPr>
        <w:t xml:space="preserve"> Wang, and </w:t>
      </w:r>
      <w:proofErr w:type="spellStart"/>
      <w:r w:rsidRPr="00AC72DE">
        <w:rPr>
          <w:rFonts w:ascii="Times New Roman" w:hAnsi="Times New Roman" w:cs="Times New Roman"/>
          <w:color w:val="000000"/>
          <w:sz w:val="24"/>
          <w:szCs w:val="24"/>
          <w:lang w:bidi="hi-IN"/>
        </w:rPr>
        <w:t>Yajiong</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Xue</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“Juggling Information Technology (IT) Exploration and Exploitation: A Proportional Balance View of IT Ambidexterity.”</w:t>
      </w:r>
      <w:proofErr w:type="gramEnd"/>
      <w:r w:rsidRPr="00AC72DE">
        <w:rPr>
          <w:rFonts w:ascii="Times New Roman" w:hAnsi="Times New Roman" w:cs="Times New Roman"/>
          <w:color w:val="000000"/>
          <w:sz w:val="24"/>
          <w:szCs w:val="24"/>
          <w:lang w:bidi="hi-IN"/>
        </w:rPr>
        <w:t xml:space="preserve"> Information Systems Research 33, no. 4 (December 2022): 1386–1402. </w:t>
      </w:r>
      <w:hyperlink r:id="rId30" w:history="1">
        <w:r w:rsidRPr="00AC72DE">
          <w:rPr>
            <w:rFonts w:ascii="Times New Roman" w:hAnsi="Times New Roman" w:cs="Times New Roman"/>
            <w:color w:val="000000"/>
            <w:sz w:val="24"/>
            <w:szCs w:val="24"/>
            <w:lang w:bidi="hi-IN"/>
          </w:rPr>
          <w:t>https://doi.org/10.1287/isre.2022.1105</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Li, F. (2020).</w:t>
      </w:r>
      <w:proofErr w:type="gramEnd"/>
      <w:r w:rsidRPr="00AC72DE">
        <w:rPr>
          <w:rFonts w:ascii="Times New Roman" w:hAnsi="Times New Roman" w:cs="Times New Roman"/>
          <w:color w:val="000000"/>
          <w:sz w:val="24"/>
          <w:szCs w:val="24"/>
          <w:lang w:bidi="hi-IN"/>
        </w:rPr>
        <w:t xml:space="preserve"> The digital transformation of business models in the creative industries: A holistic framework and emerging trends. </w:t>
      </w:r>
      <w:proofErr w:type="spellStart"/>
      <w:r w:rsidRPr="00AC72DE">
        <w:rPr>
          <w:rFonts w:ascii="Times New Roman" w:hAnsi="Times New Roman" w:cs="Times New Roman"/>
          <w:color w:val="000000"/>
          <w:sz w:val="24"/>
          <w:szCs w:val="24"/>
          <w:lang w:bidi="hi-IN"/>
        </w:rPr>
        <w:t>Technovation</w:t>
      </w:r>
      <w:proofErr w:type="spellEnd"/>
      <w:r w:rsidRPr="00AC72DE">
        <w:rPr>
          <w:rFonts w:ascii="Times New Roman" w:hAnsi="Times New Roman" w:cs="Times New Roman"/>
          <w:color w:val="000000"/>
          <w:sz w:val="24"/>
          <w:szCs w:val="24"/>
          <w:lang w:bidi="hi-IN"/>
        </w:rPr>
        <w:t>, 92–93.</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Li, D., Yang, Y., Song, Y. Z., &amp; </w:t>
      </w:r>
      <w:proofErr w:type="spellStart"/>
      <w:r w:rsidRPr="00AC72DE">
        <w:rPr>
          <w:rFonts w:ascii="Times New Roman" w:hAnsi="Times New Roman" w:cs="Times New Roman"/>
          <w:color w:val="000000"/>
          <w:sz w:val="24"/>
          <w:szCs w:val="24"/>
          <w:lang w:bidi="hi-IN"/>
        </w:rPr>
        <w:t>Hospedales</w:t>
      </w:r>
      <w:proofErr w:type="spellEnd"/>
      <w:r w:rsidRPr="00AC72DE">
        <w:rPr>
          <w:rFonts w:ascii="Times New Roman" w:hAnsi="Times New Roman" w:cs="Times New Roman"/>
          <w:color w:val="000000"/>
          <w:sz w:val="24"/>
          <w:szCs w:val="24"/>
          <w:lang w:bidi="hi-IN"/>
        </w:rPr>
        <w:t>, T. (2018, April).</w:t>
      </w:r>
      <w:proofErr w:type="gramEnd"/>
      <w:r w:rsidRPr="00AC72DE">
        <w:rPr>
          <w:rFonts w:ascii="Times New Roman" w:hAnsi="Times New Roman" w:cs="Times New Roman"/>
          <w:color w:val="000000"/>
          <w:sz w:val="24"/>
          <w:szCs w:val="24"/>
          <w:lang w:bidi="hi-IN"/>
        </w:rPr>
        <w:t xml:space="preserve"> Learning to generalize: Meta-learning for domain generalization. </w:t>
      </w:r>
      <w:proofErr w:type="gramStart"/>
      <w:r w:rsidRPr="00AC72DE">
        <w:rPr>
          <w:rFonts w:ascii="Times New Roman" w:hAnsi="Times New Roman" w:cs="Times New Roman"/>
          <w:color w:val="000000"/>
          <w:sz w:val="24"/>
          <w:szCs w:val="24"/>
          <w:lang w:bidi="hi-IN"/>
        </w:rPr>
        <w:t>In Proceedings of the AAAI conference on artificial intelligence (Vol. 32, No. 1).</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Li, L., Tong, Y., Wei, L. and Yang, S. (2022), “Digital technology-enabled dynamic capabilities and their impacts on firm performance: evidence from the COVID-19 pandemic”, Information &amp; Management, Vol. 59 No. 8, p. 103689, </w:t>
      </w:r>
      <w:proofErr w:type="spellStart"/>
      <w:r w:rsidRPr="00AC72DE">
        <w:rPr>
          <w:rFonts w:ascii="Times New Roman" w:hAnsi="Times New Roman" w:cs="Times New Roman"/>
          <w:color w:val="000000"/>
          <w:sz w:val="24"/>
          <w:szCs w:val="24"/>
          <w:lang w:bidi="hi-IN"/>
        </w:rPr>
        <w:t>doi</w:t>
      </w:r>
      <w:proofErr w:type="spellEnd"/>
      <w:r w:rsidRPr="00AC72DE">
        <w:rPr>
          <w:rFonts w:ascii="Times New Roman" w:hAnsi="Times New Roman" w:cs="Times New Roman"/>
          <w:color w:val="000000"/>
          <w:sz w:val="24"/>
          <w:szCs w:val="24"/>
          <w:lang w:bidi="hi-IN"/>
        </w:rPr>
        <w:t>: 10.1016/j.im.2022.103689.</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181F55">
        <w:rPr>
          <w:rFonts w:ascii="Times New Roman" w:hAnsi="Times New Roman" w:cs="Times New Roman"/>
          <w:color w:val="000000"/>
          <w:sz w:val="24"/>
          <w:szCs w:val="24"/>
          <w:lang w:bidi="hi-IN"/>
        </w:rPr>
        <w:t xml:space="preserve">Lin, </w:t>
      </w:r>
      <w:proofErr w:type="spellStart"/>
      <w:r w:rsidRPr="00181F55">
        <w:rPr>
          <w:rFonts w:ascii="Times New Roman" w:hAnsi="Times New Roman" w:cs="Times New Roman"/>
          <w:color w:val="000000"/>
          <w:sz w:val="24"/>
          <w:szCs w:val="24"/>
          <w:lang w:bidi="hi-IN"/>
        </w:rPr>
        <w:t>Jiabao</w:t>
      </w:r>
      <w:proofErr w:type="spellEnd"/>
      <w:r w:rsidRPr="00181F55">
        <w:rPr>
          <w:rFonts w:ascii="Times New Roman" w:hAnsi="Times New Roman" w:cs="Times New Roman"/>
          <w:color w:val="000000"/>
          <w:sz w:val="24"/>
          <w:szCs w:val="24"/>
          <w:lang w:bidi="hi-IN"/>
        </w:rPr>
        <w:t xml:space="preserve">, and </w:t>
      </w:r>
      <w:proofErr w:type="spellStart"/>
      <w:r w:rsidRPr="00181F55">
        <w:rPr>
          <w:rFonts w:ascii="Times New Roman" w:hAnsi="Times New Roman" w:cs="Times New Roman"/>
          <w:color w:val="000000"/>
          <w:sz w:val="24"/>
          <w:szCs w:val="24"/>
          <w:lang w:bidi="hi-IN"/>
        </w:rPr>
        <w:t>Yuchen</w:t>
      </w:r>
      <w:proofErr w:type="spellEnd"/>
      <w:r w:rsidRPr="00181F55">
        <w:rPr>
          <w:rFonts w:ascii="Times New Roman" w:hAnsi="Times New Roman" w:cs="Times New Roman"/>
          <w:color w:val="000000"/>
          <w:sz w:val="24"/>
          <w:szCs w:val="24"/>
          <w:lang w:bidi="hi-IN"/>
        </w:rPr>
        <w:t xml:space="preserve"> Fan.</w:t>
      </w:r>
      <w:proofErr w:type="gramEnd"/>
      <w:r w:rsidRPr="00181F55">
        <w:rPr>
          <w:rFonts w:ascii="Times New Roman" w:hAnsi="Times New Roman" w:cs="Times New Roman"/>
          <w:color w:val="000000"/>
          <w:sz w:val="24"/>
          <w:szCs w:val="24"/>
          <w:lang w:bidi="hi-IN"/>
        </w:rPr>
        <w:t xml:space="preserve"> </w:t>
      </w:r>
      <w:proofErr w:type="gramStart"/>
      <w:r w:rsidRPr="00181F55">
        <w:rPr>
          <w:rFonts w:ascii="Times New Roman" w:hAnsi="Times New Roman" w:cs="Times New Roman"/>
          <w:color w:val="000000"/>
          <w:sz w:val="24"/>
          <w:szCs w:val="24"/>
          <w:lang w:bidi="hi-IN"/>
        </w:rPr>
        <w:t>“Seeking Sustainable Performance through Organizational Resilience: Examining the Role of Supply Chain Integration and Digital Technology Usage.”</w:t>
      </w:r>
      <w:proofErr w:type="gramEnd"/>
      <w:r w:rsidRPr="00181F55">
        <w:rPr>
          <w:rFonts w:ascii="Times New Roman" w:hAnsi="Times New Roman" w:cs="Times New Roman"/>
          <w:color w:val="000000"/>
          <w:sz w:val="24"/>
          <w:szCs w:val="24"/>
          <w:lang w:bidi="hi-IN"/>
        </w:rPr>
        <w:t xml:space="preserve"> Technological Forecasting and Social Change 198 (January 2024): 123026. </w:t>
      </w:r>
      <w:hyperlink r:id="rId31" w:history="1">
        <w:r w:rsidRPr="00AC72DE">
          <w:rPr>
            <w:rFonts w:ascii="Times New Roman" w:hAnsi="Times New Roman" w:cs="Times New Roman"/>
            <w:color w:val="000000"/>
            <w:sz w:val="24"/>
            <w:szCs w:val="24"/>
            <w:lang w:bidi="hi-IN"/>
          </w:rPr>
          <w:t>https://doi.org/10.1016/j.techfore.2023.123026</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181F55">
        <w:rPr>
          <w:rFonts w:ascii="Times New Roman" w:hAnsi="Times New Roman" w:cs="Times New Roman"/>
          <w:color w:val="000000"/>
          <w:sz w:val="24"/>
          <w:szCs w:val="24"/>
          <w:lang w:bidi="hi-IN"/>
        </w:rPr>
        <w:t>Linnenluecke</w:t>
      </w:r>
      <w:proofErr w:type="spellEnd"/>
      <w:r w:rsidRPr="00181F55">
        <w:rPr>
          <w:rFonts w:ascii="Times New Roman" w:hAnsi="Times New Roman" w:cs="Times New Roman"/>
          <w:color w:val="000000"/>
          <w:sz w:val="24"/>
          <w:szCs w:val="24"/>
          <w:lang w:bidi="hi-IN"/>
        </w:rPr>
        <w:t xml:space="preserve">, Martina K. “Resilience in Business and Management Research: A Review of Influential Publications and a Research Agenda.” International Journal of Management Reviews 19, no. 1 (January 2017): 4–30. </w:t>
      </w:r>
      <w:hyperlink r:id="rId32" w:history="1">
        <w:r w:rsidRPr="00AC72DE">
          <w:rPr>
            <w:rFonts w:ascii="Times New Roman" w:hAnsi="Times New Roman" w:cs="Times New Roman"/>
            <w:color w:val="000000"/>
            <w:sz w:val="24"/>
            <w:szCs w:val="24"/>
            <w:lang w:bidi="hi-IN"/>
          </w:rPr>
          <w:t>https://doi.org/10.1111/ijmr.12076</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Lotfi</w:t>
      </w:r>
      <w:proofErr w:type="spellEnd"/>
      <w:r w:rsidRPr="00AC72DE">
        <w:rPr>
          <w:rFonts w:ascii="Times New Roman" w:hAnsi="Times New Roman" w:cs="Times New Roman"/>
          <w:color w:val="000000"/>
          <w:sz w:val="24"/>
          <w:szCs w:val="24"/>
          <w:lang w:bidi="hi-IN"/>
        </w:rPr>
        <w:t xml:space="preserve">, Maryam, and </w:t>
      </w:r>
      <w:proofErr w:type="spellStart"/>
      <w:r w:rsidRPr="00AC72DE">
        <w:rPr>
          <w:rFonts w:ascii="Times New Roman" w:hAnsi="Times New Roman" w:cs="Times New Roman"/>
          <w:color w:val="000000"/>
          <w:sz w:val="24"/>
          <w:szCs w:val="24"/>
          <w:lang w:bidi="hi-IN"/>
        </w:rPr>
        <w:t>Soroosh</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Saghiri</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“Disentangling Resilience, Agility and Leanness: Conceptual Development and Empirical Analysis.” Journal of Manufacturing Technology Management 29, no. 1 (January 15, 2018): 168–97. </w:t>
      </w:r>
      <w:hyperlink r:id="rId33" w:history="1">
        <w:r w:rsidRPr="00AC72DE">
          <w:rPr>
            <w:rFonts w:ascii="Times New Roman" w:hAnsi="Times New Roman" w:cs="Times New Roman"/>
            <w:color w:val="000000"/>
            <w:sz w:val="24"/>
            <w:szCs w:val="24"/>
            <w:lang w:bidi="hi-IN"/>
          </w:rPr>
          <w:t>https://doi.org/10.1108/JMTM-01-2017-0014</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Lu, </w:t>
      </w:r>
      <w:proofErr w:type="spellStart"/>
      <w:r w:rsidRPr="00AC72DE">
        <w:rPr>
          <w:rFonts w:ascii="Times New Roman" w:hAnsi="Times New Roman" w:cs="Times New Roman"/>
          <w:color w:val="000000"/>
          <w:sz w:val="24"/>
          <w:szCs w:val="24"/>
          <w:lang w:bidi="hi-IN"/>
        </w:rPr>
        <w:t>Qiang</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Xinyi</w:t>
      </w:r>
      <w:proofErr w:type="spellEnd"/>
      <w:r w:rsidRPr="00AC72DE">
        <w:rPr>
          <w:rFonts w:ascii="Times New Roman" w:hAnsi="Times New Roman" w:cs="Times New Roman"/>
          <w:color w:val="000000"/>
          <w:sz w:val="24"/>
          <w:szCs w:val="24"/>
          <w:lang w:bidi="hi-IN"/>
        </w:rPr>
        <w:t xml:space="preserve"> Wang, and Yu Wang.</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“Enhancing Supply Chain Resilience with Supply Chain Governance and Finance: The Enabling Role of Digital Technology Adoption.”</w:t>
      </w:r>
      <w:proofErr w:type="gramEnd"/>
      <w:r w:rsidRPr="00AC72DE">
        <w:rPr>
          <w:rFonts w:ascii="Times New Roman" w:hAnsi="Times New Roman" w:cs="Times New Roman"/>
          <w:color w:val="000000"/>
          <w:sz w:val="24"/>
          <w:szCs w:val="24"/>
          <w:lang w:bidi="hi-IN"/>
        </w:rPr>
        <w:t xml:space="preserve"> Business Process Management Journal 29, no. 4 (June 5, 2023): 944–64. </w:t>
      </w:r>
      <w:hyperlink r:id="rId34" w:history="1">
        <w:r w:rsidRPr="00AC72DE">
          <w:rPr>
            <w:rFonts w:ascii="Times New Roman" w:hAnsi="Times New Roman" w:cs="Times New Roman"/>
            <w:color w:val="000000"/>
            <w:sz w:val="24"/>
            <w:szCs w:val="24"/>
            <w:lang w:bidi="hi-IN"/>
          </w:rPr>
          <w:t>https://doi.org/10.1108/BPMJ-11-2022-0601</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181F55">
        <w:rPr>
          <w:rFonts w:ascii="Times New Roman" w:hAnsi="Times New Roman" w:cs="Times New Roman"/>
          <w:color w:val="000000"/>
          <w:sz w:val="24"/>
          <w:szCs w:val="24"/>
          <w:lang w:bidi="hi-IN"/>
        </w:rPr>
        <w:lastRenderedPageBreak/>
        <w:t>Lubatkin</w:t>
      </w:r>
      <w:proofErr w:type="spellEnd"/>
      <w:r w:rsidRPr="00181F55">
        <w:rPr>
          <w:rFonts w:ascii="Times New Roman" w:hAnsi="Times New Roman" w:cs="Times New Roman"/>
          <w:color w:val="000000"/>
          <w:sz w:val="24"/>
          <w:szCs w:val="24"/>
          <w:lang w:bidi="hi-IN"/>
        </w:rPr>
        <w:t xml:space="preserve">, Michael H., </w:t>
      </w:r>
      <w:proofErr w:type="spellStart"/>
      <w:r w:rsidRPr="00181F55">
        <w:rPr>
          <w:rFonts w:ascii="Times New Roman" w:hAnsi="Times New Roman" w:cs="Times New Roman"/>
          <w:color w:val="000000"/>
          <w:sz w:val="24"/>
          <w:szCs w:val="24"/>
          <w:lang w:bidi="hi-IN"/>
        </w:rPr>
        <w:t>Zeki</w:t>
      </w:r>
      <w:proofErr w:type="spellEnd"/>
      <w:r w:rsidRPr="00181F55">
        <w:rPr>
          <w:rFonts w:ascii="Times New Roman" w:hAnsi="Times New Roman" w:cs="Times New Roman"/>
          <w:color w:val="000000"/>
          <w:sz w:val="24"/>
          <w:szCs w:val="24"/>
          <w:lang w:bidi="hi-IN"/>
        </w:rPr>
        <w:t xml:space="preserve"> </w:t>
      </w:r>
      <w:proofErr w:type="spellStart"/>
      <w:r w:rsidRPr="00181F55">
        <w:rPr>
          <w:rFonts w:ascii="Times New Roman" w:hAnsi="Times New Roman" w:cs="Times New Roman"/>
          <w:color w:val="000000"/>
          <w:sz w:val="24"/>
          <w:szCs w:val="24"/>
          <w:lang w:bidi="hi-IN"/>
        </w:rPr>
        <w:t>Simsek</w:t>
      </w:r>
      <w:proofErr w:type="spellEnd"/>
      <w:r w:rsidRPr="00181F55">
        <w:rPr>
          <w:rFonts w:ascii="Times New Roman" w:hAnsi="Times New Roman" w:cs="Times New Roman"/>
          <w:color w:val="000000"/>
          <w:sz w:val="24"/>
          <w:szCs w:val="24"/>
          <w:lang w:bidi="hi-IN"/>
        </w:rPr>
        <w:t xml:space="preserve">, Yan Ling, and John F. </w:t>
      </w:r>
      <w:proofErr w:type="spellStart"/>
      <w:r w:rsidRPr="00181F55">
        <w:rPr>
          <w:rFonts w:ascii="Times New Roman" w:hAnsi="Times New Roman" w:cs="Times New Roman"/>
          <w:color w:val="000000"/>
          <w:sz w:val="24"/>
          <w:szCs w:val="24"/>
          <w:lang w:bidi="hi-IN"/>
        </w:rPr>
        <w:t>Veiga</w:t>
      </w:r>
      <w:proofErr w:type="spellEnd"/>
      <w:r w:rsidRPr="00181F55">
        <w:rPr>
          <w:rFonts w:ascii="Times New Roman" w:hAnsi="Times New Roman" w:cs="Times New Roman"/>
          <w:color w:val="000000"/>
          <w:sz w:val="24"/>
          <w:szCs w:val="24"/>
          <w:lang w:bidi="hi-IN"/>
        </w:rPr>
        <w:t>.</w:t>
      </w:r>
      <w:proofErr w:type="gramEnd"/>
      <w:r w:rsidRPr="00181F55">
        <w:rPr>
          <w:rFonts w:ascii="Times New Roman" w:hAnsi="Times New Roman" w:cs="Times New Roman"/>
          <w:color w:val="000000"/>
          <w:sz w:val="24"/>
          <w:szCs w:val="24"/>
          <w:lang w:bidi="hi-IN"/>
        </w:rPr>
        <w:t xml:space="preserve"> “Ambidexterity and Performance in Small-to Medium-Sized Firms: The Pivotal Role of Top Management Team </w:t>
      </w:r>
      <w:proofErr w:type="spellStart"/>
      <w:r w:rsidRPr="00181F55">
        <w:rPr>
          <w:rFonts w:ascii="Times New Roman" w:hAnsi="Times New Roman" w:cs="Times New Roman"/>
          <w:color w:val="000000"/>
          <w:sz w:val="24"/>
          <w:szCs w:val="24"/>
          <w:lang w:bidi="hi-IN"/>
        </w:rPr>
        <w:t>Behavioral</w:t>
      </w:r>
      <w:proofErr w:type="spellEnd"/>
      <w:r w:rsidRPr="00181F55">
        <w:rPr>
          <w:rFonts w:ascii="Times New Roman" w:hAnsi="Times New Roman" w:cs="Times New Roman"/>
          <w:color w:val="000000"/>
          <w:sz w:val="24"/>
          <w:szCs w:val="24"/>
          <w:lang w:bidi="hi-IN"/>
        </w:rPr>
        <w:t xml:space="preserve"> Integration.” Journal of Management 32, no. 5 (October 2006): 646–72. </w:t>
      </w:r>
      <w:hyperlink r:id="rId35" w:history="1">
        <w:r w:rsidRPr="00AC72DE">
          <w:rPr>
            <w:rFonts w:ascii="Times New Roman" w:hAnsi="Times New Roman" w:cs="Times New Roman"/>
            <w:color w:val="000000"/>
            <w:sz w:val="24"/>
            <w:szCs w:val="24"/>
            <w:lang w:bidi="hi-IN"/>
          </w:rPr>
          <w:t>https://doi.org/10.1177/0149206306290712</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Mandal</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Santanu</w:t>
      </w:r>
      <w:proofErr w:type="spellEnd"/>
      <w:r w:rsidRPr="00AC72DE">
        <w:rPr>
          <w:rFonts w:ascii="Times New Roman" w:hAnsi="Times New Roman" w:cs="Times New Roman"/>
          <w:color w:val="000000"/>
          <w:sz w:val="24"/>
          <w:szCs w:val="24"/>
          <w:lang w:bidi="hi-IN"/>
        </w:rPr>
        <w:t xml:space="preserve">, and D. </w:t>
      </w:r>
      <w:proofErr w:type="spellStart"/>
      <w:r w:rsidRPr="00AC72DE">
        <w:rPr>
          <w:rFonts w:ascii="Times New Roman" w:hAnsi="Times New Roman" w:cs="Times New Roman"/>
          <w:color w:val="000000"/>
          <w:sz w:val="24"/>
          <w:szCs w:val="24"/>
          <w:lang w:bidi="hi-IN"/>
        </w:rPr>
        <w:t>Saravanan</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“Exploring the Influence of Strategic Orientations on Tourism Supply Chain Agility and Resilience: An Empirical Investigation.”</w:t>
      </w:r>
      <w:proofErr w:type="gramEnd"/>
      <w:r w:rsidRPr="00AC72DE">
        <w:rPr>
          <w:rFonts w:ascii="Times New Roman" w:hAnsi="Times New Roman" w:cs="Times New Roman"/>
          <w:color w:val="000000"/>
          <w:sz w:val="24"/>
          <w:szCs w:val="24"/>
          <w:lang w:bidi="hi-IN"/>
        </w:rPr>
        <w:t xml:space="preserve"> Tourism Planning &amp; Development 16, no. 6 (November 2, 2019): 612–36. </w:t>
      </w:r>
      <w:hyperlink r:id="rId36" w:history="1">
        <w:r w:rsidRPr="00AC72DE">
          <w:rPr>
            <w:rFonts w:ascii="Times New Roman" w:hAnsi="Times New Roman" w:cs="Times New Roman"/>
            <w:color w:val="000000"/>
            <w:sz w:val="24"/>
            <w:szCs w:val="24"/>
            <w:lang w:bidi="hi-IN"/>
          </w:rPr>
          <w:t>https://doi.org/10.1080/21568316.2018.1561506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Mangalaraj</w:t>
      </w:r>
      <w:proofErr w:type="spellEnd"/>
      <w:r w:rsidRPr="00AC72DE">
        <w:rPr>
          <w:rFonts w:ascii="Times New Roman" w:hAnsi="Times New Roman" w:cs="Times New Roman"/>
          <w:color w:val="000000"/>
          <w:sz w:val="24"/>
          <w:szCs w:val="24"/>
          <w:lang w:bidi="hi-IN"/>
        </w:rPr>
        <w:t xml:space="preserve">, George, Sridhar </w:t>
      </w:r>
      <w:proofErr w:type="spellStart"/>
      <w:r w:rsidRPr="00AC72DE">
        <w:rPr>
          <w:rFonts w:ascii="Times New Roman" w:hAnsi="Times New Roman" w:cs="Times New Roman"/>
          <w:color w:val="000000"/>
          <w:sz w:val="24"/>
          <w:szCs w:val="24"/>
          <w:lang w:bidi="hi-IN"/>
        </w:rPr>
        <w:t>Nerur</w:t>
      </w:r>
      <w:proofErr w:type="spellEnd"/>
      <w:r w:rsidRPr="00AC72DE">
        <w:rPr>
          <w:rFonts w:ascii="Times New Roman" w:hAnsi="Times New Roman" w:cs="Times New Roman"/>
          <w:color w:val="000000"/>
          <w:sz w:val="24"/>
          <w:szCs w:val="24"/>
          <w:lang w:bidi="hi-IN"/>
        </w:rPr>
        <w:t xml:space="preserve">, and Rahul </w:t>
      </w:r>
      <w:proofErr w:type="spellStart"/>
      <w:r w:rsidRPr="00AC72DE">
        <w:rPr>
          <w:rFonts w:ascii="Times New Roman" w:hAnsi="Times New Roman" w:cs="Times New Roman"/>
          <w:color w:val="000000"/>
          <w:sz w:val="24"/>
          <w:szCs w:val="24"/>
          <w:lang w:bidi="hi-IN"/>
        </w:rPr>
        <w:t>Dwivedi</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“Digital Transformation for Agility and Resilience: An Exploratory Study.” Journal of Computer Information Systems 63, no. 1 (January 2, 2023): 11–23. </w:t>
      </w:r>
      <w:hyperlink r:id="rId37" w:history="1">
        <w:r w:rsidRPr="00AC72DE">
          <w:rPr>
            <w:rFonts w:ascii="Times New Roman" w:hAnsi="Times New Roman" w:cs="Times New Roman"/>
            <w:color w:val="000000"/>
            <w:sz w:val="24"/>
            <w:szCs w:val="24"/>
            <w:lang w:bidi="hi-IN"/>
          </w:rPr>
          <w:t>https://doi.org/10.1080/08874417.2021.2015726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March, J. G. (1991).</w:t>
      </w:r>
      <w:proofErr w:type="gramEnd"/>
      <w:r w:rsidRPr="00AC72DE">
        <w:rPr>
          <w:rFonts w:ascii="Times New Roman" w:hAnsi="Times New Roman" w:cs="Times New Roman"/>
          <w:color w:val="000000"/>
          <w:sz w:val="24"/>
          <w:szCs w:val="24"/>
          <w:lang w:bidi="hi-IN"/>
        </w:rPr>
        <w:t xml:space="preserve"> </w:t>
      </w:r>
      <w:proofErr w:type="gramStart"/>
      <w:r w:rsidRPr="00AC72DE">
        <w:rPr>
          <w:i/>
          <w:iCs/>
          <w:color w:val="000000"/>
          <w:lang w:bidi="hi-IN"/>
        </w:rPr>
        <w:t>Exploration and exploitation in organizational learning</w:t>
      </w:r>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Organization Science, 2(1), 71–87. </w:t>
      </w:r>
      <w:hyperlink r:id="rId38" w:history="1">
        <w:r w:rsidRPr="00AC72DE">
          <w:rPr>
            <w:color w:val="000000"/>
            <w:lang w:bidi="hi-IN"/>
          </w:rPr>
          <w:t>https://doi.org/10.1287/orsc.2.1.71</w:t>
        </w:r>
      </w:hyperlink>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Melville, Kraemer, and </w:t>
      </w:r>
      <w:proofErr w:type="spellStart"/>
      <w:r w:rsidRPr="00AC72DE">
        <w:rPr>
          <w:rFonts w:ascii="Times New Roman" w:hAnsi="Times New Roman" w:cs="Times New Roman"/>
          <w:color w:val="000000"/>
          <w:sz w:val="24"/>
          <w:szCs w:val="24"/>
          <w:lang w:bidi="hi-IN"/>
        </w:rPr>
        <w:t>Gurbaxani</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“Review: Information Technology and Organizational Performance: An Integrative Model of </w:t>
      </w:r>
      <w:proofErr w:type="gramStart"/>
      <w:r w:rsidRPr="00AC72DE">
        <w:rPr>
          <w:rFonts w:ascii="Times New Roman" w:hAnsi="Times New Roman" w:cs="Times New Roman"/>
          <w:color w:val="000000"/>
          <w:sz w:val="24"/>
          <w:szCs w:val="24"/>
          <w:lang w:bidi="hi-IN"/>
        </w:rPr>
        <w:t>IT</w:t>
      </w:r>
      <w:proofErr w:type="gramEnd"/>
      <w:r w:rsidRPr="00AC72DE">
        <w:rPr>
          <w:rFonts w:ascii="Times New Roman" w:hAnsi="Times New Roman" w:cs="Times New Roman"/>
          <w:color w:val="000000"/>
          <w:sz w:val="24"/>
          <w:szCs w:val="24"/>
          <w:lang w:bidi="hi-IN"/>
        </w:rPr>
        <w:t xml:space="preserve"> Business Value.” MIS Quarterly 28, no. 2 (2004): 283. </w:t>
      </w:r>
      <w:hyperlink r:id="rId39" w:history="1">
        <w:r w:rsidRPr="00AC72DE">
          <w:rPr>
            <w:rFonts w:ascii="Times New Roman" w:hAnsi="Times New Roman" w:cs="Times New Roman"/>
            <w:color w:val="000000"/>
            <w:sz w:val="24"/>
            <w:szCs w:val="24"/>
            <w:lang w:bidi="hi-IN"/>
          </w:rPr>
          <w:t>https://doi.org/10.2307/25148636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Mikalef</w:t>
      </w:r>
      <w:proofErr w:type="spellEnd"/>
      <w:r w:rsidRPr="00AC72DE">
        <w:rPr>
          <w:rFonts w:ascii="Times New Roman" w:hAnsi="Times New Roman" w:cs="Times New Roman"/>
          <w:color w:val="000000"/>
          <w:sz w:val="24"/>
          <w:szCs w:val="24"/>
          <w:lang w:bidi="hi-IN"/>
        </w:rPr>
        <w:t xml:space="preserve">, P., </w:t>
      </w:r>
      <w:proofErr w:type="spellStart"/>
      <w:r w:rsidRPr="00AC72DE">
        <w:rPr>
          <w:rFonts w:ascii="Times New Roman" w:hAnsi="Times New Roman" w:cs="Times New Roman"/>
          <w:color w:val="000000"/>
          <w:sz w:val="24"/>
          <w:szCs w:val="24"/>
          <w:lang w:bidi="hi-IN"/>
        </w:rPr>
        <w:t>Krogstie</w:t>
      </w:r>
      <w:proofErr w:type="spellEnd"/>
      <w:r w:rsidRPr="00AC72DE">
        <w:rPr>
          <w:rFonts w:ascii="Times New Roman" w:hAnsi="Times New Roman" w:cs="Times New Roman"/>
          <w:color w:val="000000"/>
          <w:sz w:val="24"/>
          <w:szCs w:val="24"/>
          <w:lang w:bidi="hi-IN"/>
        </w:rPr>
        <w:t xml:space="preserve">, J., Pappas, I. O., &amp; </w:t>
      </w:r>
      <w:proofErr w:type="spellStart"/>
      <w:r w:rsidRPr="00AC72DE">
        <w:rPr>
          <w:rFonts w:ascii="Times New Roman" w:hAnsi="Times New Roman" w:cs="Times New Roman"/>
          <w:color w:val="000000"/>
          <w:sz w:val="24"/>
          <w:szCs w:val="24"/>
          <w:lang w:bidi="hi-IN"/>
        </w:rPr>
        <w:t>Pavlou</w:t>
      </w:r>
      <w:proofErr w:type="spellEnd"/>
      <w:r w:rsidRPr="00AC72DE">
        <w:rPr>
          <w:rFonts w:ascii="Times New Roman" w:hAnsi="Times New Roman" w:cs="Times New Roman"/>
          <w:color w:val="000000"/>
          <w:sz w:val="24"/>
          <w:szCs w:val="24"/>
          <w:lang w:bidi="hi-IN"/>
        </w:rPr>
        <w:t>, P. (2020).</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Exploring the relationship between big data analytics capability and competitive performance: The mediating roles of dynamic and operational capabilities.</w:t>
      </w:r>
      <w:proofErr w:type="gramEnd"/>
      <w:r w:rsidRPr="00AC72DE">
        <w:rPr>
          <w:rFonts w:ascii="Times New Roman" w:hAnsi="Times New Roman" w:cs="Times New Roman"/>
          <w:color w:val="000000"/>
          <w:sz w:val="24"/>
          <w:szCs w:val="24"/>
          <w:lang w:bidi="hi-IN"/>
        </w:rPr>
        <w:t> </w:t>
      </w:r>
      <w:proofErr w:type="gramStart"/>
      <w:r w:rsidRPr="00AC72DE">
        <w:rPr>
          <w:rFonts w:ascii="Times New Roman" w:hAnsi="Times New Roman" w:cs="Times New Roman"/>
          <w:color w:val="000000"/>
          <w:sz w:val="24"/>
          <w:szCs w:val="24"/>
          <w:lang w:bidi="hi-IN"/>
        </w:rPr>
        <w:t>Information &amp; Management, 57(2), 103169.</w:t>
      </w:r>
      <w:proofErr w:type="gramEnd"/>
    </w:p>
    <w:p w:rsidR="00027C9A" w:rsidRDefault="00027C9A"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027C9A" w:rsidRPr="00027C9A" w:rsidRDefault="00027C9A"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027C9A">
        <w:rPr>
          <w:rFonts w:ascii="Times New Roman" w:hAnsi="Times New Roman" w:cs="Times New Roman"/>
          <w:color w:val="000000"/>
          <w:sz w:val="24"/>
          <w:szCs w:val="24"/>
          <w:lang w:bidi="hi-IN"/>
        </w:rPr>
        <w:t xml:space="preserve">Miller, D. (1987). </w:t>
      </w:r>
      <w:proofErr w:type="gramStart"/>
      <w:r w:rsidRPr="00027C9A">
        <w:rPr>
          <w:rFonts w:ascii="Times New Roman" w:hAnsi="Times New Roman" w:cs="Times New Roman"/>
          <w:color w:val="000000"/>
          <w:sz w:val="24"/>
          <w:szCs w:val="24"/>
          <w:lang w:bidi="hi-IN"/>
        </w:rPr>
        <w:t>The structural and environmental correlates of business strategy.</w:t>
      </w:r>
      <w:proofErr w:type="gramEnd"/>
      <w:r w:rsidRPr="00027C9A">
        <w:rPr>
          <w:rFonts w:ascii="Times New Roman" w:hAnsi="Times New Roman" w:cs="Times New Roman"/>
          <w:color w:val="000000"/>
          <w:sz w:val="24"/>
          <w:szCs w:val="24"/>
          <w:lang w:bidi="hi-IN"/>
        </w:rPr>
        <w:t xml:space="preserve"> Strategic Management Journal, 8(1), 55–76. https://doi.org/10.1002/smj.4250080106</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Neboh</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Nkechi</w:t>
      </w:r>
      <w:proofErr w:type="spellEnd"/>
      <w:r w:rsidRPr="00AC72DE">
        <w:rPr>
          <w:rFonts w:ascii="Times New Roman" w:hAnsi="Times New Roman" w:cs="Times New Roman"/>
          <w:color w:val="000000"/>
          <w:sz w:val="24"/>
          <w:szCs w:val="24"/>
          <w:lang w:bidi="hi-IN"/>
        </w:rPr>
        <w:t xml:space="preserve"> D., and </w:t>
      </w:r>
      <w:proofErr w:type="spellStart"/>
      <w:r w:rsidRPr="00AC72DE">
        <w:rPr>
          <w:rFonts w:ascii="Times New Roman" w:hAnsi="Times New Roman" w:cs="Times New Roman"/>
          <w:color w:val="000000"/>
          <w:sz w:val="24"/>
          <w:szCs w:val="24"/>
          <w:lang w:bidi="hi-IN"/>
        </w:rPr>
        <w:t>Thokozani</w:t>
      </w:r>
      <w:proofErr w:type="spellEnd"/>
      <w:r w:rsidRPr="00AC72DE">
        <w:rPr>
          <w:rFonts w:ascii="Times New Roman" w:hAnsi="Times New Roman" w:cs="Times New Roman"/>
          <w:color w:val="000000"/>
          <w:sz w:val="24"/>
          <w:szCs w:val="24"/>
          <w:lang w:bidi="hi-IN"/>
        </w:rPr>
        <w:t xml:space="preserve"> P. </w:t>
      </w:r>
      <w:proofErr w:type="spellStart"/>
      <w:r w:rsidRPr="00AC72DE">
        <w:rPr>
          <w:rFonts w:ascii="Times New Roman" w:hAnsi="Times New Roman" w:cs="Times New Roman"/>
          <w:color w:val="000000"/>
          <w:sz w:val="24"/>
          <w:szCs w:val="24"/>
          <w:lang w:bidi="hi-IN"/>
        </w:rPr>
        <w:t>Mbhele</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“Sustainability Governance of the Fast-Moving Consumer Goods Industry.”</w:t>
      </w:r>
      <w:proofErr w:type="gramEnd"/>
      <w:r w:rsidRPr="00AC72DE">
        <w:rPr>
          <w:rFonts w:ascii="Times New Roman" w:hAnsi="Times New Roman" w:cs="Times New Roman"/>
          <w:color w:val="000000"/>
          <w:sz w:val="24"/>
          <w:szCs w:val="24"/>
          <w:lang w:bidi="hi-IN"/>
        </w:rPr>
        <w:t xml:space="preserve"> Journal of Governance and Regulation 11, no. 3 (2022): 70–78. </w:t>
      </w:r>
      <w:hyperlink r:id="rId40" w:history="1">
        <w:r w:rsidRPr="00AC72DE">
          <w:rPr>
            <w:rFonts w:ascii="Times New Roman" w:hAnsi="Times New Roman" w:cs="Times New Roman"/>
            <w:color w:val="000000"/>
            <w:sz w:val="24"/>
            <w:szCs w:val="24"/>
            <w:lang w:bidi="hi-IN"/>
          </w:rPr>
          <w:t>https://doi.org/10.22495/jgrv11i3art7</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Norris, Fran H., Susan P. Stevens, Betty </w:t>
      </w:r>
      <w:proofErr w:type="spellStart"/>
      <w:r w:rsidRPr="00AC72DE">
        <w:rPr>
          <w:rFonts w:ascii="Times New Roman" w:hAnsi="Times New Roman" w:cs="Times New Roman"/>
          <w:color w:val="000000"/>
          <w:sz w:val="24"/>
          <w:szCs w:val="24"/>
          <w:lang w:bidi="hi-IN"/>
        </w:rPr>
        <w:t>Pfefferbaum</w:t>
      </w:r>
      <w:proofErr w:type="spellEnd"/>
      <w:r w:rsidRPr="00AC72DE">
        <w:rPr>
          <w:rFonts w:ascii="Times New Roman" w:hAnsi="Times New Roman" w:cs="Times New Roman"/>
          <w:color w:val="000000"/>
          <w:sz w:val="24"/>
          <w:szCs w:val="24"/>
          <w:lang w:bidi="hi-IN"/>
        </w:rPr>
        <w:t xml:space="preserve">, Karen F. </w:t>
      </w:r>
      <w:proofErr w:type="spellStart"/>
      <w:r w:rsidRPr="00AC72DE">
        <w:rPr>
          <w:rFonts w:ascii="Times New Roman" w:hAnsi="Times New Roman" w:cs="Times New Roman"/>
          <w:color w:val="000000"/>
          <w:sz w:val="24"/>
          <w:szCs w:val="24"/>
          <w:lang w:bidi="hi-IN"/>
        </w:rPr>
        <w:t>Wyche</w:t>
      </w:r>
      <w:proofErr w:type="spellEnd"/>
      <w:r w:rsidRPr="00AC72DE">
        <w:rPr>
          <w:rFonts w:ascii="Times New Roman" w:hAnsi="Times New Roman" w:cs="Times New Roman"/>
          <w:color w:val="000000"/>
          <w:sz w:val="24"/>
          <w:szCs w:val="24"/>
          <w:lang w:bidi="hi-IN"/>
        </w:rPr>
        <w:t xml:space="preserve">, and Rose L. </w:t>
      </w:r>
      <w:proofErr w:type="spellStart"/>
      <w:r w:rsidRPr="00AC72DE">
        <w:rPr>
          <w:rFonts w:ascii="Times New Roman" w:hAnsi="Times New Roman" w:cs="Times New Roman"/>
          <w:color w:val="000000"/>
          <w:sz w:val="24"/>
          <w:szCs w:val="24"/>
          <w:lang w:bidi="hi-IN"/>
        </w:rPr>
        <w:t>Pfefferbaum</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“Community Resilience as a Metaphor, Theory, Set of </w:t>
      </w:r>
      <w:proofErr w:type="gramStart"/>
      <w:r w:rsidRPr="00AC72DE">
        <w:rPr>
          <w:rFonts w:ascii="Times New Roman" w:hAnsi="Times New Roman" w:cs="Times New Roman"/>
          <w:color w:val="000000"/>
          <w:sz w:val="24"/>
          <w:szCs w:val="24"/>
          <w:lang w:bidi="hi-IN"/>
        </w:rPr>
        <w:t>Capacities,</w:t>
      </w:r>
      <w:proofErr w:type="gramEnd"/>
      <w:r w:rsidRPr="00AC72DE">
        <w:rPr>
          <w:rFonts w:ascii="Times New Roman" w:hAnsi="Times New Roman" w:cs="Times New Roman"/>
          <w:color w:val="000000"/>
          <w:sz w:val="24"/>
          <w:szCs w:val="24"/>
          <w:lang w:bidi="hi-IN"/>
        </w:rPr>
        <w:t xml:space="preserve"> and Strategy for Disaster Readiness.” American Journal of Community Psychology 41, no. 1–2 (March 2008): 127–50. </w:t>
      </w:r>
      <w:hyperlink r:id="rId41" w:history="1">
        <w:r w:rsidRPr="00AC72DE">
          <w:rPr>
            <w:rFonts w:ascii="Times New Roman" w:hAnsi="Times New Roman" w:cs="Times New Roman"/>
            <w:color w:val="000000"/>
            <w:sz w:val="24"/>
            <w:szCs w:val="24"/>
            <w:lang w:bidi="hi-IN"/>
          </w:rPr>
          <w:t>https://doi.org/10.1007/s10464-007-9156-6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Nguyen </w:t>
      </w:r>
      <w:proofErr w:type="spellStart"/>
      <w:r w:rsidRPr="00AC72DE">
        <w:rPr>
          <w:rFonts w:ascii="Times New Roman" w:hAnsi="Times New Roman" w:cs="Times New Roman"/>
          <w:color w:val="000000"/>
          <w:sz w:val="24"/>
          <w:szCs w:val="24"/>
          <w:lang w:bidi="hi-IN"/>
        </w:rPr>
        <w:t>Thi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Binh</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Linh</w:t>
      </w:r>
      <w:proofErr w:type="spellEnd"/>
      <w:r w:rsidRPr="00AC72DE">
        <w:rPr>
          <w:rFonts w:ascii="Times New Roman" w:hAnsi="Times New Roman" w:cs="Times New Roman"/>
          <w:color w:val="000000"/>
          <w:sz w:val="24"/>
          <w:szCs w:val="24"/>
          <w:lang w:bidi="hi-IN"/>
        </w:rPr>
        <w:t xml:space="preserve"> Nguyen Do </w:t>
      </w:r>
      <w:proofErr w:type="spellStart"/>
      <w:r w:rsidRPr="00AC72DE">
        <w:rPr>
          <w:rFonts w:ascii="Times New Roman" w:hAnsi="Times New Roman" w:cs="Times New Roman"/>
          <w:color w:val="000000"/>
          <w:sz w:val="24"/>
          <w:szCs w:val="24"/>
          <w:lang w:bidi="hi-IN"/>
        </w:rPr>
        <w:t>Khanh</w:t>
      </w:r>
      <w:proofErr w:type="spellEnd"/>
      <w:r w:rsidRPr="00AC72DE">
        <w:rPr>
          <w:rFonts w:ascii="Times New Roman" w:hAnsi="Times New Roman" w:cs="Times New Roman"/>
          <w:color w:val="000000"/>
          <w:sz w:val="24"/>
          <w:szCs w:val="24"/>
          <w:lang w:bidi="hi-IN"/>
        </w:rPr>
        <w:t xml:space="preserve">, Hang Ha Minh, </w:t>
      </w:r>
      <w:proofErr w:type="spellStart"/>
      <w:r w:rsidRPr="00AC72DE">
        <w:rPr>
          <w:rFonts w:ascii="Times New Roman" w:hAnsi="Times New Roman" w:cs="Times New Roman"/>
          <w:color w:val="000000"/>
          <w:sz w:val="24"/>
          <w:szCs w:val="24"/>
          <w:lang w:bidi="hi-IN"/>
        </w:rPr>
        <w:t>Linh</w:t>
      </w:r>
      <w:proofErr w:type="spellEnd"/>
      <w:r w:rsidRPr="00AC72DE">
        <w:rPr>
          <w:rFonts w:ascii="Times New Roman" w:hAnsi="Times New Roman" w:cs="Times New Roman"/>
          <w:color w:val="000000"/>
          <w:sz w:val="24"/>
          <w:szCs w:val="24"/>
          <w:lang w:bidi="hi-IN"/>
        </w:rPr>
        <w:t xml:space="preserve"> Do </w:t>
      </w:r>
      <w:proofErr w:type="spellStart"/>
      <w:r w:rsidRPr="00AC72DE">
        <w:rPr>
          <w:rFonts w:ascii="Times New Roman" w:hAnsi="Times New Roman" w:cs="Times New Roman"/>
          <w:color w:val="000000"/>
          <w:sz w:val="24"/>
          <w:szCs w:val="24"/>
          <w:lang w:bidi="hi-IN"/>
        </w:rPr>
        <w:t>Thi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Thuy</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Dat</w:t>
      </w:r>
      <w:proofErr w:type="spellEnd"/>
      <w:r w:rsidRPr="00AC72DE">
        <w:rPr>
          <w:rFonts w:ascii="Times New Roman" w:hAnsi="Times New Roman" w:cs="Times New Roman"/>
          <w:color w:val="000000"/>
          <w:sz w:val="24"/>
          <w:szCs w:val="24"/>
          <w:lang w:bidi="hi-IN"/>
        </w:rPr>
        <w:t xml:space="preserve"> Ngo </w:t>
      </w:r>
      <w:proofErr w:type="spellStart"/>
      <w:r w:rsidRPr="00AC72DE">
        <w:rPr>
          <w:rFonts w:ascii="Times New Roman" w:hAnsi="Times New Roman" w:cs="Times New Roman"/>
          <w:color w:val="000000"/>
          <w:sz w:val="24"/>
          <w:szCs w:val="24"/>
          <w:lang w:bidi="hi-IN"/>
        </w:rPr>
        <w:t>Tien</w:t>
      </w:r>
      <w:proofErr w:type="spellEnd"/>
      <w:r w:rsidRPr="00AC72DE">
        <w:rPr>
          <w:rFonts w:ascii="Times New Roman" w:hAnsi="Times New Roman" w:cs="Times New Roman"/>
          <w:color w:val="000000"/>
          <w:sz w:val="24"/>
          <w:szCs w:val="24"/>
          <w:lang w:bidi="hi-IN"/>
        </w:rPr>
        <w:t xml:space="preserve">. “Impacts of Inbound Logistics Capabilities on Supply Chain Resilience: Insight from Vietnamese Textile Industry.” Measuring Business Excellence 27, no. 3 (August 9, 2023): 501–18. </w:t>
      </w:r>
      <w:hyperlink r:id="rId42" w:history="1">
        <w:r w:rsidRPr="00AC72DE">
          <w:rPr>
            <w:rFonts w:ascii="Times New Roman" w:hAnsi="Times New Roman" w:cs="Times New Roman"/>
            <w:color w:val="000000"/>
            <w:sz w:val="24"/>
            <w:szCs w:val="24"/>
            <w:lang w:bidi="hi-IN"/>
          </w:rPr>
          <w:t>https://doi.org/10.1108/MBE-09-2022-0113</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O'Reilly, C. A., &amp; Tushman, M. L. (2004).</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The ambidextrous organization.</w:t>
      </w:r>
      <w:proofErr w:type="gramEnd"/>
      <w:r w:rsidRPr="00AC72DE">
        <w:rPr>
          <w:rFonts w:ascii="Times New Roman" w:hAnsi="Times New Roman" w:cs="Times New Roman"/>
          <w:color w:val="000000"/>
          <w:sz w:val="24"/>
          <w:szCs w:val="24"/>
          <w:lang w:bidi="hi-IN"/>
        </w:rPr>
        <w:t xml:space="preserve"> Harvard Business Review, 82(4), 74–81.</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O'Reilly, C. A., &amp; Tushman, M. L. (2013).</w:t>
      </w:r>
      <w:proofErr w:type="gramEnd"/>
      <w:r w:rsidRPr="00AC72DE">
        <w:rPr>
          <w:rFonts w:ascii="Times New Roman" w:hAnsi="Times New Roman" w:cs="Times New Roman"/>
          <w:color w:val="000000"/>
          <w:sz w:val="24"/>
          <w:szCs w:val="24"/>
          <w:lang w:bidi="hi-IN"/>
        </w:rPr>
        <w:t xml:space="preserve"> Organizational ambidexterity: Past, present, and future. Academy of Management Perspectives, 27(4), 324–338.</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lastRenderedPageBreak/>
        <w:t>Overby</w:t>
      </w:r>
      <w:proofErr w:type="spellEnd"/>
      <w:r w:rsidRPr="00AC72DE">
        <w:rPr>
          <w:rFonts w:ascii="Times New Roman" w:hAnsi="Times New Roman" w:cs="Times New Roman"/>
          <w:color w:val="000000"/>
          <w:sz w:val="24"/>
          <w:szCs w:val="24"/>
          <w:lang w:bidi="hi-IN"/>
        </w:rPr>
        <w:t xml:space="preserve">, Eric, </w:t>
      </w:r>
      <w:proofErr w:type="spellStart"/>
      <w:r w:rsidRPr="00AC72DE">
        <w:rPr>
          <w:rFonts w:ascii="Times New Roman" w:hAnsi="Times New Roman" w:cs="Times New Roman"/>
          <w:color w:val="000000"/>
          <w:sz w:val="24"/>
          <w:szCs w:val="24"/>
          <w:lang w:bidi="hi-IN"/>
        </w:rPr>
        <w:t>Anandhi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Bharadwaj</w:t>
      </w:r>
      <w:proofErr w:type="spellEnd"/>
      <w:r w:rsidRPr="00AC72DE">
        <w:rPr>
          <w:rFonts w:ascii="Times New Roman" w:hAnsi="Times New Roman" w:cs="Times New Roman"/>
          <w:color w:val="000000"/>
          <w:sz w:val="24"/>
          <w:szCs w:val="24"/>
          <w:lang w:bidi="hi-IN"/>
        </w:rPr>
        <w:t xml:space="preserve">, and V </w:t>
      </w:r>
      <w:proofErr w:type="spellStart"/>
      <w:r w:rsidRPr="00AC72DE">
        <w:rPr>
          <w:rFonts w:ascii="Times New Roman" w:hAnsi="Times New Roman" w:cs="Times New Roman"/>
          <w:color w:val="000000"/>
          <w:sz w:val="24"/>
          <w:szCs w:val="24"/>
          <w:lang w:bidi="hi-IN"/>
        </w:rPr>
        <w:t>Sambamurthy</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“Enterprise Agility and the Enabling Role of Information Technology.”</w:t>
      </w:r>
      <w:proofErr w:type="gramEnd"/>
      <w:r w:rsidRPr="00AC72DE">
        <w:rPr>
          <w:rFonts w:ascii="Times New Roman" w:hAnsi="Times New Roman" w:cs="Times New Roman"/>
          <w:color w:val="000000"/>
          <w:sz w:val="24"/>
          <w:szCs w:val="24"/>
          <w:lang w:bidi="hi-IN"/>
        </w:rPr>
        <w:t xml:space="preserve"> European Journal of Information Systems 15, no. 2 (April 2006): 120–31. </w:t>
      </w:r>
      <w:hyperlink r:id="rId43" w:history="1">
        <w:r w:rsidRPr="00AC72DE">
          <w:rPr>
            <w:rFonts w:ascii="Times New Roman" w:hAnsi="Times New Roman" w:cs="Times New Roman"/>
            <w:color w:val="000000"/>
            <w:sz w:val="24"/>
            <w:szCs w:val="24"/>
            <w:lang w:bidi="hi-IN"/>
          </w:rPr>
          <w:t>https://doi.org/10.1057/palgrave.ejis.3000600</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Pan, Shan L., Miao Cui, and </w:t>
      </w:r>
      <w:proofErr w:type="spellStart"/>
      <w:r w:rsidRPr="00AC72DE">
        <w:rPr>
          <w:rFonts w:ascii="Times New Roman" w:hAnsi="Times New Roman" w:cs="Times New Roman"/>
          <w:color w:val="000000"/>
          <w:sz w:val="24"/>
          <w:szCs w:val="24"/>
          <w:lang w:bidi="hi-IN"/>
        </w:rPr>
        <w:t>Jinfang</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Qian</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“Information Resource Orchestration during the COVID-19 Pandemic: A Study of Community Lockdowns in China.” International Journal of Information Management 54 (October 2020): 102143. </w:t>
      </w:r>
      <w:hyperlink r:id="rId44" w:history="1">
        <w:r w:rsidRPr="00AC72DE">
          <w:rPr>
            <w:rFonts w:ascii="Times New Roman" w:hAnsi="Times New Roman" w:cs="Times New Roman"/>
            <w:color w:val="000000"/>
            <w:sz w:val="24"/>
            <w:szCs w:val="24"/>
            <w:lang w:bidi="hi-IN"/>
          </w:rPr>
          <w:t>https://doi.org/10.1016/j.ijinfomgt.2020.102143</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Park, </w:t>
      </w:r>
      <w:proofErr w:type="spellStart"/>
      <w:r w:rsidRPr="00AC72DE">
        <w:rPr>
          <w:rFonts w:ascii="Times New Roman" w:hAnsi="Times New Roman" w:cs="Times New Roman"/>
          <w:color w:val="000000"/>
          <w:sz w:val="24"/>
          <w:szCs w:val="24"/>
          <w:lang w:bidi="hi-IN"/>
        </w:rPr>
        <w:t>Ji-Hoon</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Ribin</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Seo</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“A Contingent Value of </w:t>
      </w:r>
      <w:proofErr w:type="spellStart"/>
      <w:r w:rsidRPr="00AC72DE">
        <w:rPr>
          <w:rFonts w:ascii="Times New Roman" w:hAnsi="Times New Roman" w:cs="Times New Roman"/>
          <w:color w:val="000000"/>
          <w:sz w:val="24"/>
          <w:szCs w:val="24"/>
          <w:lang w:bidi="hi-IN"/>
        </w:rPr>
        <w:t>Bricolage</w:t>
      </w:r>
      <w:proofErr w:type="spellEnd"/>
      <w:r w:rsidRPr="00AC72DE">
        <w:rPr>
          <w:rFonts w:ascii="Times New Roman" w:hAnsi="Times New Roman" w:cs="Times New Roman"/>
          <w:color w:val="000000"/>
          <w:sz w:val="24"/>
          <w:szCs w:val="24"/>
          <w:lang w:bidi="hi-IN"/>
        </w:rPr>
        <w:t xml:space="preserve"> Strategy on SMEs’ Organizational Resilience: Lessons from the COVID-19 Pandemic.” Humanities and Social Sciences Communications 11, no. 1 (February 13, 2024): 263. </w:t>
      </w:r>
      <w:hyperlink r:id="rId45" w:history="1">
        <w:r w:rsidRPr="00AC72DE">
          <w:rPr>
            <w:rFonts w:ascii="Times New Roman" w:hAnsi="Times New Roman" w:cs="Times New Roman"/>
            <w:color w:val="000000"/>
            <w:sz w:val="24"/>
            <w:szCs w:val="24"/>
            <w:lang w:bidi="hi-IN"/>
          </w:rPr>
          <w:t>https://doi.org/10.1057/s41599-024-02771-6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Pavlou</w:t>
      </w:r>
      <w:proofErr w:type="spellEnd"/>
      <w:r w:rsidRPr="00AC72DE">
        <w:rPr>
          <w:rFonts w:ascii="Times New Roman" w:hAnsi="Times New Roman" w:cs="Times New Roman"/>
          <w:color w:val="000000"/>
          <w:sz w:val="24"/>
          <w:szCs w:val="24"/>
          <w:lang w:bidi="hi-IN"/>
        </w:rPr>
        <w:t xml:space="preserve">, P. A., &amp; El </w:t>
      </w:r>
      <w:proofErr w:type="spellStart"/>
      <w:r w:rsidRPr="00AC72DE">
        <w:rPr>
          <w:rFonts w:ascii="Times New Roman" w:hAnsi="Times New Roman" w:cs="Times New Roman"/>
          <w:color w:val="000000"/>
          <w:sz w:val="24"/>
          <w:szCs w:val="24"/>
          <w:lang w:bidi="hi-IN"/>
        </w:rPr>
        <w:t>Sawy</w:t>
      </w:r>
      <w:proofErr w:type="spellEnd"/>
      <w:r w:rsidRPr="00AC72DE">
        <w:rPr>
          <w:rFonts w:ascii="Times New Roman" w:hAnsi="Times New Roman" w:cs="Times New Roman"/>
          <w:color w:val="000000"/>
          <w:sz w:val="24"/>
          <w:szCs w:val="24"/>
          <w:lang w:bidi="hi-IN"/>
        </w:rPr>
        <w:t>, O. A. (2011).</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Understanding the elusive black box of dynamic capabilities.</w:t>
      </w:r>
      <w:proofErr w:type="gramEnd"/>
      <w:r w:rsidRPr="00AC72DE">
        <w:rPr>
          <w:rFonts w:ascii="Times New Roman" w:hAnsi="Times New Roman" w:cs="Times New Roman"/>
          <w:color w:val="000000"/>
          <w:sz w:val="24"/>
          <w:szCs w:val="24"/>
          <w:lang w:bidi="hi-IN"/>
        </w:rPr>
        <w:t> </w:t>
      </w:r>
      <w:proofErr w:type="gramStart"/>
      <w:r w:rsidRPr="00AC72DE">
        <w:rPr>
          <w:rFonts w:ascii="Times New Roman" w:hAnsi="Times New Roman" w:cs="Times New Roman"/>
          <w:color w:val="000000"/>
          <w:sz w:val="24"/>
          <w:szCs w:val="24"/>
          <w:lang w:bidi="hi-IN"/>
        </w:rPr>
        <w:t>Decision sciences, 42(1), 239-273.</w:t>
      </w:r>
      <w:proofErr w:type="gramEnd"/>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Peng</w:t>
      </w:r>
      <w:proofErr w:type="spellEnd"/>
      <w:r w:rsidRPr="00AC72DE">
        <w:rPr>
          <w:rFonts w:ascii="Times New Roman" w:hAnsi="Times New Roman" w:cs="Times New Roman"/>
          <w:color w:val="000000"/>
          <w:sz w:val="24"/>
          <w:szCs w:val="24"/>
          <w:lang w:bidi="hi-IN"/>
        </w:rPr>
        <w:t>, D. X., &amp; Lai, F. (2012).</w:t>
      </w:r>
      <w:proofErr w:type="gramEnd"/>
      <w:r w:rsidRPr="00AC72DE">
        <w:rPr>
          <w:rFonts w:ascii="Times New Roman" w:hAnsi="Times New Roman" w:cs="Times New Roman"/>
          <w:color w:val="000000"/>
          <w:sz w:val="24"/>
          <w:szCs w:val="24"/>
          <w:lang w:bidi="hi-IN"/>
        </w:rPr>
        <w:t xml:space="preserve"> Using partial least squares in operations management research: A practical guideline and summary of past research. Journal of Operations Management, 30(6), 467–480. https://doi.org/10.1016/j.jom.2012.06.002</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Pettit, Timothy J., Joseph </w:t>
      </w:r>
      <w:proofErr w:type="spellStart"/>
      <w:r w:rsidRPr="00AC72DE">
        <w:rPr>
          <w:rFonts w:ascii="Times New Roman" w:hAnsi="Times New Roman" w:cs="Times New Roman"/>
          <w:color w:val="000000"/>
          <w:sz w:val="24"/>
          <w:szCs w:val="24"/>
          <w:lang w:bidi="hi-IN"/>
        </w:rPr>
        <w:t>Fiksel</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Keely</w:t>
      </w:r>
      <w:proofErr w:type="spellEnd"/>
      <w:r w:rsidRPr="00AC72DE">
        <w:rPr>
          <w:rFonts w:ascii="Times New Roman" w:hAnsi="Times New Roman" w:cs="Times New Roman"/>
          <w:color w:val="000000"/>
          <w:sz w:val="24"/>
          <w:szCs w:val="24"/>
          <w:lang w:bidi="hi-IN"/>
        </w:rPr>
        <w:t xml:space="preserve"> L. </w:t>
      </w:r>
      <w:proofErr w:type="spellStart"/>
      <w:r w:rsidRPr="00AC72DE">
        <w:rPr>
          <w:rFonts w:ascii="Times New Roman" w:hAnsi="Times New Roman" w:cs="Times New Roman"/>
          <w:color w:val="000000"/>
          <w:sz w:val="24"/>
          <w:szCs w:val="24"/>
          <w:lang w:bidi="hi-IN"/>
        </w:rPr>
        <w:t>Croxton</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“ENSURING SUPPLY CHAIN RESILIENCE: DEVELOPMENT OF A CONCEPTUAL FRAMEWORK.”</w:t>
      </w:r>
      <w:proofErr w:type="gramEnd"/>
      <w:r w:rsidRPr="00AC72DE">
        <w:rPr>
          <w:rFonts w:ascii="Times New Roman" w:hAnsi="Times New Roman" w:cs="Times New Roman"/>
          <w:color w:val="000000"/>
          <w:sz w:val="24"/>
          <w:szCs w:val="24"/>
          <w:lang w:bidi="hi-IN"/>
        </w:rPr>
        <w:t xml:space="preserve"> Journal of Business Logistics 31, no. 1 (March 2010): 1–21. </w:t>
      </w:r>
      <w:hyperlink r:id="rId46" w:history="1">
        <w:r w:rsidRPr="00AC72DE">
          <w:rPr>
            <w:rFonts w:ascii="Times New Roman" w:hAnsi="Times New Roman" w:cs="Times New Roman"/>
            <w:color w:val="000000"/>
            <w:sz w:val="24"/>
            <w:szCs w:val="24"/>
            <w:lang w:bidi="hi-IN"/>
          </w:rPr>
          <w:t>https://doi.org/10.1002/j.2158-1592.2010.tb00125.x</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Pinsonneault</w:t>
      </w:r>
      <w:proofErr w:type="spellEnd"/>
      <w:r w:rsidRPr="00AC72DE">
        <w:rPr>
          <w:rFonts w:ascii="Times New Roman" w:hAnsi="Times New Roman" w:cs="Times New Roman"/>
          <w:color w:val="000000"/>
          <w:sz w:val="24"/>
          <w:szCs w:val="24"/>
          <w:lang w:bidi="hi-IN"/>
        </w:rPr>
        <w:t xml:space="preserve">, Alain, and </w:t>
      </w:r>
      <w:proofErr w:type="spellStart"/>
      <w:r w:rsidRPr="00AC72DE">
        <w:rPr>
          <w:rFonts w:ascii="Times New Roman" w:hAnsi="Times New Roman" w:cs="Times New Roman"/>
          <w:color w:val="000000"/>
          <w:sz w:val="24"/>
          <w:szCs w:val="24"/>
          <w:lang w:bidi="hi-IN"/>
        </w:rPr>
        <w:t>Inmyung</w:t>
      </w:r>
      <w:proofErr w:type="spellEnd"/>
      <w:r w:rsidRPr="00AC72DE">
        <w:rPr>
          <w:rFonts w:ascii="Times New Roman" w:hAnsi="Times New Roman" w:cs="Times New Roman"/>
          <w:color w:val="000000"/>
          <w:sz w:val="24"/>
          <w:szCs w:val="24"/>
          <w:lang w:bidi="hi-IN"/>
        </w:rPr>
        <w:t xml:space="preserve"> Choi.</w:t>
      </w:r>
      <w:proofErr w:type="gramEnd"/>
      <w:r w:rsidRPr="00AC72DE">
        <w:rPr>
          <w:rFonts w:ascii="Times New Roman" w:hAnsi="Times New Roman" w:cs="Times New Roman"/>
          <w:color w:val="000000"/>
          <w:sz w:val="24"/>
          <w:szCs w:val="24"/>
          <w:lang w:bidi="hi-IN"/>
        </w:rPr>
        <w:t xml:space="preserve"> “Digital-Enabled Strategic Agility: It’s Time We Examine the Sensing of Weak Signals.” European Journal of Information Systems 31, no. 6 (November 2, 2022): 653–61. </w:t>
      </w:r>
      <w:hyperlink r:id="rId47" w:history="1">
        <w:r w:rsidRPr="00AC72DE">
          <w:rPr>
            <w:rFonts w:ascii="Times New Roman" w:hAnsi="Times New Roman" w:cs="Times New Roman"/>
            <w:color w:val="000000"/>
            <w:sz w:val="24"/>
            <w:szCs w:val="24"/>
            <w:lang w:bidi="hi-IN"/>
          </w:rPr>
          <w:t>https://doi.org/10.1080/0960085X.2022.2027824</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181F55">
        <w:rPr>
          <w:rFonts w:ascii="Times New Roman" w:hAnsi="Times New Roman" w:cs="Times New Roman"/>
          <w:color w:val="000000"/>
          <w:sz w:val="24"/>
          <w:szCs w:val="24"/>
          <w:lang w:bidi="hi-IN"/>
        </w:rPr>
        <w:t>Podsakoff</w:t>
      </w:r>
      <w:proofErr w:type="spellEnd"/>
      <w:r w:rsidRPr="00181F55">
        <w:rPr>
          <w:rFonts w:ascii="Times New Roman" w:hAnsi="Times New Roman" w:cs="Times New Roman"/>
          <w:color w:val="000000"/>
          <w:sz w:val="24"/>
          <w:szCs w:val="24"/>
          <w:lang w:bidi="hi-IN"/>
        </w:rPr>
        <w:t xml:space="preserve">, Philip M., Scott B. </w:t>
      </w:r>
      <w:proofErr w:type="spellStart"/>
      <w:r w:rsidRPr="00181F55">
        <w:rPr>
          <w:rFonts w:ascii="Times New Roman" w:hAnsi="Times New Roman" w:cs="Times New Roman"/>
          <w:color w:val="000000"/>
          <w:sz w:val="24"/>
          <w:szCs w:val="24"/>
          <w:lang w:bidi="hi-IN"/>
        </w:rPr>
        <w:t>MacKenzie</w:t>
      </w:r>
      <w:proofErr w:type="spellEnd"/>
      <w:r w:rsidRPr="00181F55">
        <w:rPr>
          <w:rFonts w:ascii="Times New Roman" w:hAnsi="Times New Roman" w:cs="Times New Roman"/>
          <w:color w:val="000000"/>
          <w:sz w:val="24"/>
          <w:szCs w:val="24"/>
          <w:lang w:bidi="hi-IN"/>
        </w:rPr>
        <w:t xml:space="preserve">, and Nathan P. </w:t>
      </w:r>
      <w:proofErr w:type="spellStart"/>
      <w:r w:rsidRPr="00181F55">
        <w:rPr>
          <w:rFonts w:ascii="Times New Roman" w:hAnsi="Times New Roman" w:cs="Times New Roman"/>
          <w:color w:val="000000"/>
          <w:sz w:val="24"/>
          <w:szCs w:val="24"/>
          <w:lang w:bidi="hi-IN"/>
        </w:rPr>
        <w:t>Podsakoff</w:t>
      </w:r>
      <w:proofErr w:type="spellEnd"/>
      <w:r w:rsidRPr="00181F55">
        <w:rPr>
          <w:rFonts w:ascii="Times New Roman" w:hAnsi="Times New Roman" w:cs="Times New Roman"/>
          <w:color w:val="000000"/>
          <w:sz w:val="24"/>
          <w:szCs w:val="24"/>
          <w:lang w:bidi="hi-IN"/>
        </w:rPr>
        <w:t>.</w:t>
      </w:r>
      <w:proofErr w:type="gramEnd"/>
      <w:r w:rsidRPr="00181F55">
        <w:rPr>
          <w:rFonts w:ascii="Times New Roman" w:hAnsi="Times New Roman" w:cs="Times New Roman"/>
          <w:color w:val="000000"/>
          <w:sz w:val="24"/>
          <w:szCs w:val="24"/>
          <w:lang w:bidi="hi-IN"/>
        </w:rPr>
        <w:t xml:space="preserve"> </w:t>
      </w:r>
      <w:proofErr w:type="gramStart"/>
      <w:r w:rsidRPr="00181F55">
        <w:rPr>
          <w:rFonts w:ascii="Times New Roman" w:hAnsi="Times New Roman" w:cs="Times New Roman"/>
          <w:color w:val="000000"/>
          <w:sz w:val="24"/>
          <w:szCs w:val="24"/>
          <w:lang w:bidi="hi-IN"/>
        </w:rPr>
        <w:t>“Sources of Method Bias in Social Science Research and Recommendations on How to Control It.”</w:t>
      </w:r>
      <w:proofErr w:type="gramEnd"/>
      <w:r w:rsidRPr="00181F55">
        <w:rPr>
          <w:rFonts w:ascii="Times New Roman" w:hAnsi="Times New Roman" w:cs="Times New Roman"/>
          <w:color w:val="000000"/>
          <w:sz w:val="24"/>
          <w:szCs w:val="24"/>
          <w:lang w:bidi="hi-IN"/>
        </w:rPr>
        <w:t xml:space="preserve"> Annual Review of Psychology 63, no. 1 (January 10, 2012): 539–69. </w:t>
      </w:r>
      <w:hyperlink r:id="rId48" w:history="1">
        <w:r w:rsidRPr="00AC72DE">
          <w:rPr>
            <w:rFonts w:ascii="Times New Roman" w:hAnsi="Times New Roman" w:cs="Times New Roman"/>
            <w:color w:val="000000"/>
            <w:sz w:val="24"/>
            <w:szCs w:val="24"/>
            <w:lang w:bidi="hi-IN"/>
          </w:rPr>
          <w:t>https://doi.org/10.1146/annurev-psych-120710-100452</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Pokhrel</w:t>
      </w:r>
      <w:proofErr w:type="spellEnd"/>
      <w:r w:rsidRPr="00AC72DE">
        <w:rPr>
          <w:rFonts w:ascii="Times New Roman" w:hAnsi="Times New Roman" w:cs="Times New Roman"/>
          <w:color w:val="000000"/>
          <w:sz w:val="24"/>
          <w:szCs w:val="24"/>
          <w:lang w:bidi="hi-IN"/>
        </w:rPr>
        <w:t xml:space="preserve">, S., &amp; </w:t>
      </w:r>
      <w:proofErr w:type="spellStart"/>
      <w:r w:rsidRPr="00AC72DE">
        <w:rPr>
          <w:rFonts w:ascii="Times New Roman" w:hAnsi="Times New Roman" w:cs="Times New Roman"/>
          <w:color w:val="000000"/>
          <w:sz w:val="24"/>
          <w:szCs w:val="24"/>
          <w:lang w:bidi="hi-IN"/>
        </w:rPr>
        <w:t>Chhetri</w:t>
      </w:r>
      <w:proofErr w:type="spellEnd"/>
      <w:r w:rsidRPr="00AC72DE">
        <w:rPr>
          <w:rFonts w:ascii="Times New Roman" w:hAnsi="Times New Roman" w:cs="Times New Roman"/>
          <w:color w:val="000000"/>
          <w:sz w:val="24"/>
          <w:szCs w:val="24"/>
          <w:lang w:bidi="hi-IN"/>
        </w:rPr>
        <w:t>, R. (2021).</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A literature review on impact of COVID-19 pandemic on teaching and learning.</w:t>
      </w:r>
      <w:proofErr w:type="gramEnd"/>
      <w:r w:rsidRPr="00AC72DE">
        <w:rPr>
          <w:rFonts w:ascii="Times New Roman" w:hAnsi="Times New Roman" w:cs="Times New Roman"/>
          <w:color w:val="000000"/>
          <w:sz w:val="24"/>
          <w:szCs w:val="24"/>
          <w:lang w:bidi="hi-IN"/>
        </w:rPr>
        <w:t> </w:t>
      </w:r>
      <w:proofErr w:type="gramStart"/>
      <w:r w:rsidRPr="00AC72DE">
        <w:rPr>
          <w:rFonts w:ascii="Times New Roman" w:hAnsi="Times New Roman" w:cs="Times New Roman"/>
          <w:color w:val="000000"/>
          <w:sz w:val="24"/>
          <w:szCs w:val="24"/>
          <w:lang w:bidi="hi-IN"/>
        </w:rPr>
        <w:t>Higher education for the future, 8(1), 133-141.</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181F55">
        <w:rPr>
          <w:rFonts w:ascii="Times New Roman" w:hAnsi="Times New Roman" w:cs="Times New Roman"/>
          <w:color w:val="000000"/>
          <w:sz w:val="24"/>
          <w:szCs w:val="24"/>
          <w:lang w:bidi="hi-IN"/>
        </w:rPr>
        <w:t>Prange</w:t>
      </w:r>
      <w:proofErr w:type="spellEnd"/>
      <w:r w:rsidRPr="00181F55">
        <w:rPr>
          <w:rFonts w:ascii="Times New Roman" w:hAnsi="Times New Roman" w:cs="Times New Roman"/>
          <w:color w:val="000000"/>
          <w:sz w:val="24"/>
          <w:szCs w:val="24"/>
          <w:lang w:bidi="hi-IN"/>
        </w:rPr>
        <w:t xml:space="preserve">, Christiane. </w:t>
      </w:r>
      <w:proofErr w:type="gramStart"/>
      <w:r w:rsidRPr="00181F55">
        <w:rPr>
          <w:rFonts w:ascii="Times New Roman" w:hAnsi="Times New Roman" w:cs="Times New Roman"/>
          <w:color w:val="000000"/>
          <w:sz w:val="24"/>
          <w:szCs w:val="24"/>
          <w:lang w:bidi="hi-IN"/>
        </w:rPr>
        <w:t>“Agility as the Discovery of Slowness.”</w:t>
      </w:r>
      <w:proofErr w:type="gramEnd"/>
      <w:r w:rsidRPr="00181F55">
        <w:rPr>
          <w:rFonts w:ascii="Times New Roman" w:hAnsi="Times New Roman" w:cs="Times New Roman"/>
          <w:color w:val="000000"/>
          <w:sz w:val="24"/>
          <w:szCs w:val="24"/>
          <w:lang w:bidi="hi-IN"/>
        </w:rPr>
        <w:t xml:space="preserve"> California Management Review 63, no. 4 (August 2021): 27–51. </w:t>
      </w:r>
      <w:hyperlink r:id="rId49" w:history="1">
        <w:r w:rsidRPr="00AC72DE">
          <w:rPr>
            <w:rFonts w:ascii="Times New Roman" w:hAnsi="Times New Roman" w:cs="Times New Roman"/>
            <w:color w:val="000000"/>
            <w:sz w:val="24"/>
            <w:szCs w:val="24"/>
            <w:lang w:bidi="hi-IN"/>
          </w:rPr>
          <w:t>https://doi.org/10.1177/00081256211028739</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Queiroz</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Maciel</w:t>
      </w:r>
      <w:proofErr w:type="spellEnd"/>
      <w:r w:rsidRPr="00AC72DE">
        <w:rPr>
          <w:rFonts w:ascii="Times New Roman" w:hAnsi="Times New Roman" w:cs="Times New Roman"/>
          <w:color w:val="000000"/>
          <w:sz w:val="24"/>
          <w:szCs w:val="24"/>
          <w:lang w:bidi="hi-IN"/>
        </w:rPr>
        <w:t xml:space="preserve"> M., Samuel </w:t>
      </w:r>
      <w:proofErr w:type="spellStart"/>
      <w:r w:rsidRPr="00AC72DE">
        <w:rPr>
          <w:rFonts w:ascii="Times New Roman" w:hAnsi="Times New Roman" w:cs="Times New Roman"/>
          <w:color w:val="000000"/>
          <w:sz w:val="24"/>
          <w:szCs w:val="24"/>
          <w:lang w:bidi="hi-IN"/>
        </w:rPr>
        <w:t>Fosso</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Wamba</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Rakesh</w:t>
      </w:r>
      <w:proofErr w:type="spellEnd"/>
      <w:r w:rsidRPr="00AC72DE">
        <w:rPr>
          <w:rFonts w:ascii="Times New Roman" w:hAnsi="Times New Roman" w:cs="Times New Roman"/>
          <w:color w:val="000000"/>
          <w:sz w:val="24"/>
          <w:szCs w:val="24"/>
          <w:lang w:bidi="hi-IN"/>
        </w:rPr>
        <w:t xml:space="preserve"> D. </w:t>
      </w:r>
      <w:proofErr w:type="spellStart"/>
      <w:r w:rsidRPr="00AC72DE">
        <w:rPr>
          <w:rFonts w:ascii="Times New Roman" w:hAnsi="Times New Roman" w:cs="Times New Roman"/>
          <w:color w:val="000000"/>
          <w:sz w:val="24"/>
          <w:szCs w:val="24"/>
          <w:lang w:bidi="hi-IN"/>
        </w:rPr>
        <w:t>Raut</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Ilias</w:t>
      </w:r>
      <w:proofErr w:type="spellEnd"/>
      <w:r w:rsidRPr="00AC72DE">
        <w:rPr>
          <w:rFonts w:ascii="Times New Roman" w:hAnsi="Times New Roman" w:cs="Times New Roman"/>
          <w:color w:val="000000"/>
          <w:sz w:val="24"/>
          <w:szCs w:val="24"/>
          <w:lang w:bidi="hi-IN"/>
        </w:rPr>
        <w:t xml:space="preserve"> O. Pappas.</w:t>
      </w:r>
      <w:proofErr w:type="gramEnd"/>
      <w:r w:rsidRPr="00AC72DE">
        <w:rPr>
          <w:rFonts w:ascii="Times New Roman" w:hAnsi="Times New Roman" w:cs="Times New Roman"/>
          <w:color w:val="000000"/>
          <w:sz w:val="24"/>
          <w:szCs w:val="24"/>
          <w:lang w:bidi="hi-IN"/>
        </w:rPr>
        <w:t xml:space="preserve"> “Does Resilience Matter for Supply Chain Performance in Disruptive Crises with Scarce Resources?” British Journal of Management 35, no. 2 (April 2024): 974–91. </w:t>
      </w:r>
      <w:hyperlink r:id="rId50" w:history="1">
        <w:r w:rsidRPr="00AC72DE">
          <w:rPr>
            <w:rFonts w:ascii="Times New Roman" w:hAnsi="Times New Roman" w:cs="Times New Roman"/>
            <w:color w:val="000000"/>
            <w:sz w:val="24"/>
            <w:szCs w:val="24"/>
            <w:lang w:bidi="hi-IN"/>
          </w:rPr>
          <w:t>https://doi.org/10.1111/1467-8551.12748</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Raisch</w:t>
      </w:r>
      <w:proofErr w:type="spellEnd"/>
      <w:r w:rsidRPr="00AC72DE">
        <w:rPr>
          <w:rFonts w:ascii="Times New Roman" w:hAnsi="Times New Roman" w:cs="Times New Roman"/>
          <w:color w:val="000000"/>
          <w:sz w:val="24"/>
          <w:szCs w:val="24"/>
          <w:lang w:bidi="hi-IN"/>
        </w:rPr>
        <w:t xml:space="preserve">, S., &amp; </w:t>
      </w:r>
      <w:proofErr w:type="spellStart"/>
      <w:r w:rsidRPr="00AC72DE">
        <w:rPr>
          <w:rFonts w:ascii="Times New Roman" w:hAnsi="Times New Roman" w:cs="Times New Roman"/>
          <w:color w:val="000000"/>
          <w:sz w:val="24"/>
          <w:szCs w:val="24"/>
          <w:lang w:bidi="hi-IN"/>
        </w:rPr>
        <w:t>Birkinshaw</w:t>
      </w:r>
      <w:proofErr w:type="spellEnd"/>
      <w:r w:rsidRPr="00AC72DE">
        <w:rPr>
          <w:rFonts w:ascii="Times New Roman" w:hAnsi="Times New Roman" w:cs="Times New Roman"/>
          <w:color w:val="000000"/>
          <w:sz w:val="24"/>
          <w:szCs w:val="24"/>
          <w:lang w:bidi="hi-IN"/>
        </w:rPr>
        <w:t>, J. (2008).</w:t>
      </w:r>
      <w:proofErr w:type="gramEnd"/>
      <w:r w:rsidRPr="00AC72DE">
        <w:rPr>
          <w:rFonts w:ascii="Times New Roman" w:hAnsi="Times New Roman" w:cs="Times New Roman"/>
          <w:color w:val="000000"/>
          <w:sz w:val="24"/>
          <w:szCs w:val="24"/>
          <w:lang w:bidi="hi-IN"/>
        </w:rPr>
        <w:t xml:space="preserve"> Organizational ambidexterity: Antecedents, outcomes, and moderators. </w:t>
      </w:r>
      <w:proofErr w:type="gramStart"/>
      <w:r w:rsidRPr="00AC72DE">
        <w:rPr>
          <w:rFonts w:ascii="Times New Roman" w:hAnsi="Times New Roman" w:cs="Times New Roman"/>
          <w:color w:val="000000"/>
          <w:sz w:val="24"/>
          <w:szCs w:val="24"/>
          <w:lang w:bidi="hi-IN"/>
        </w:rPr>
        <w:t>Journal of management, 34(3), 375-409.</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lastRenderedPageBreak/>
        <w:t xml:space="preserve">Reeves, M., </w:t>
      </w:r>
      <w:proofErr w:type="spellStart"/>
      <w:r w:rsidRPr="00AC72DE">
        <w:rPr>
          <w:rFonts w:ascii="Times New Roman" w:hAnsi="Times New Roman" w:cs="Times New Roman"/>
          <w:color w:val="000000"/>
          <w:sz w:val="24"/>
          <w:szCs w:val="24"/>
          <w:lang w:bidi="hi-IN"/>
        </w:rPr>
        <w:t>Carlsson-Szlezak</w:t>
      </w:r>
      <w:proofErr w:type="spellEnd"/>
      <w:r w:rsidRPr="00AC72DE">
        <w:rPr>
          <w:rFonts w:ascii="Times New Roman" w:hAnsi="Times New Roman" w:cs="Times New Roman"/>
          <w:color w:val="000000"/>
          <w:sz w:val="24"/>
          <w:szCs w:val="24"/>
          <w:lang w:bidi="hi-IN"/>
        </w:rPr>
        <w:t>, P., Whitaker, K., &amp; Abraham, M. (2020).</w:t>
      </w:r>
      <w:proofErr w:type="gramEnd"/>
      <w:r w:rsidRPr="00AC72DE">
        <w:rPr>
          <w:rFonts w:ascii="Times New Roman" w:hAnsi="Times New Roman" w:cs="Times New Roman"/>
          <w:color w:val="000000"/>
          <w:sz w:val="24"/>
          <w:szCs w:val="24"/>
          <w:lang w:bidi="hi-IN"/>
        </w:rPr>
        <w:t xml:space="preserve"> Sensing and shaping the post-COVID era. Harvard Business Review.</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Rialti</w:t>
      </w:r>
      <w:proofErr w:type="spellEnd"/>
      <w:r w:rsidRPr="00AC72DE">
        <w:rPr>
          <w:rFonts w:ascii="Times New Roman" w:hAnsi="Times New Roman" w:cs="Times New Roman"/>
          <w:color w:val="000000"/>
          <w:sz w:val="24"/>
          <w:szCs w:val="24"/>
          <w:lang w:bidi="hi-IN"/>
        </w:rPr>
        <w:t xml:space="preserve">, R., </w:t>
      </w:r>
      <w:proofErr w:type="spellStart"/>
      <w:r w:rsidRPr="00AC72DE">
        <w:rPr>
          <w:rFonts w:ascii="Times New Roman" w:hAnsi="Times New Roman" w:cs="Times New Roman"/>
          <w:color w:val="000000"/>
          <w:sz w:val="24"/>
          <w:szCs w:val="24"/>
          <w:lang w:bidi="hi-IN"/>
        </w:rPr>
        <w:t>Marzi</w:t>
      </w:r>
      <w:proofErr w:type="spellEnd"/>
      <w:r w:rsidRPr="00AC72DE">
        <w:rPr>
          <w:rFonts w:ascii="Times New Roman" w:hAnsi="Times New Roman" w:cs="Times New Roman"/>
          <w:color w:val="000000"/>
          <w:sz w:val="24"/>
          <w:szCs w:val="24"/>
          <w:lang w:bidi="hi-IN"/>
        </w:rPr>
        <w:t xml:space="preserve">, G., </w:t>
      </w:r>
      <w:proofErr w:type="spellStart"/>
      <w:r w:rsidRPr="00AC72DE">
        <w:rPr>
          <w:rFonts w:ascii="Times New Roman" w:hAnsi="Times New Roman" w:cs="Times New Roman"/>
          <w:color w:val="000000"/>
          <w:sz w:val="24"/>
          <w:szCs w:val="24"/>
          <w:lang w:bidi="hi-IN"/>
        </w:rPr>
        <w:t>Silic</w:t>
      </w:r>
      <w:proofErr w:type="spellEnd"/>
      <w:r w:rsidRPr="00AC72DE">
        <w:rPr>
          <w:rFonts w:ascii="Times New Roman" w:hAnsi="Times New Roman" w:cs="Times New Roman"/>
          <w:color w:val="000000"/>
          <w:sz w:val="24"/>
          <w:szCs w:val="24"/>
          <w:lang w:bidi="hi-IN"/>
        </w:rPr>
        <w:t xml:space="preserve">, M., and </w:t>
      </w:r>
      <w:proofErr w:type="spellStart"/>
      <w:r w:rsidRPr="00AC72DE">
        <w:rPr>
          <w:rFonts w:ascii="Times New Roman" w:hAnsi="Times New Roman" w:cs="Times New Roman"/>
          <w:color w:val="000000"/>
          <w:sz w:val="24"/>
          <w:szCs w:val="24"/>
          <w:lang w:bidi="hi-IN"/>
        </w:rPr>
        <w:t>Ciappei</w:t>
      </w:r>
      <w:proofErr w:type="spellEnd"/>
      <w:r w:rsidRPr="00AC72DE">
        <w:rPr>
          <w:rFonts w:ascii="Times New Roman" w:hAnsi="Times New Roman" w:cs="Times New Roman"/>
          <w:color w:val="000000"/>
          <w:sz w:val="24"/>
          <w:szCs w:val="24"/>
          <w:lang w:bidi="hi-IN"/>
        </w:rPr>
        <w:t>, C. (2018a).</w:t>
      </w:r>
      <w:proofErr w:type="gramEnd"/>
      <w:r w:rsidRPr="00AC72DE">
        <w:rPr>
          <w:rFonts w:ascii="Times New Roman" w:hAnsi="Times New Roman" w:cs="Times New Roman"/>
          <w:color w:val="000000"/>
          <w:sz w:val="24"/>
          <w:szCs w:val="24"/>
          <w:lang w:bidi="hi-IN"/>
        </w:rPr>
        <w:t xml:space="preserve"> Ambidextrous organization and agility in big data era: the role of business process management systems. </w:t>
      </w:r>
      <w:proofErr w:type="gramStart"/>
      <w:r w:rsidRPr="00AC72DE">
        <w:rPr>
          <w:rFonts w:ascii="Times New Roman" w:hAnsi="Times New Roman" w:cs="Times New Roman"/>
          <w:color w:val="000000"/>
          <w:sz w:val="24"/>
          <w:szCs w:val="24"/>
          <w:lang w:bidi="hi-IN"/>
        </w:rPr>
        <w:t>Business Process Management Journal.</w:t>
      </w:r>
      <w:proofErr w:type="gramEnd"/>
      <w:r w:rsidRPr="00AC72DE">
        <w:rPr>
          <w:rFonts w:ascii="Times New Roman" w:hAnsi="Times New Roman" w:cs="Times New Roman"/>
          <w:color w:val="000000"/>
          <w:sz w:val="24"/>
          <w:szCs w:val="24"/>
          <w:lang w:bidi="hi-IN"/>
        </w:rPr>
        <w:t xml:space="preserve"> DOI: doi.org/10.1108/BPMJ-07-2017- 0210</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Roberts, N., &amp; Grover, V. (2012).</w:t>
      </w:r>
      <w:proofErr w:type="gramEnd"/>
      <w:r w:rsidRPr="00AC72DE">
        <w:rPr>
          <w:rFonts w:ascii="Times New Roman" w:hAnsi="Times New Roman" w:cs="Times New Roman"/>
          <w:color w:val="000000"/>
          <w:sz w:val="24"/>
          <w:szCs w:val="24"/>
          <w:lang w:bidi="hi-IN"/>
        </w:rPr>
        <w:t xml:space="preserve"> Investigating firm's customer agility and firm performance: The importance of aligning sense and respond capabilities. </w:t>
      </w:r>
      <w:proofErr w:type="gramStart"/>
      <w:r w:rsidRPr="00AC72DE">
        <w:rPr>
          <w:rFonts w:ascii="Times New Roman" w:hAnsi="Times New Roman" w:cs="Times New Roman"/>
          <w:color w:val="000000"/>
          <w:sz w:val="24"/>
          <w:szCs w:val="24"/>
          <w:lang w:bidi="hi-IN"/>
        </w:rPr>
        <w:t>Journal of business research, 65(5), 579-585.</w:t>
      </w:r>
      <w:proofErr w:type="gramEnd"/>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Sabahi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Sima</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Mahour</w:t>
      </w:r>
      <w:proofErr w:type="spellEnd"/>
      <w:r w:rsidRPr="00AC72DE">
        <w:rPr>
          <w:rFonts w:ascii="Times New Roman" w:hAnsi="Times New Roman" w:cs="Times New Roman"/>
          <w:color w:val="000000"/>
          <w:sz w:val="24"/>
          <w:szCs w:val="24"/>
          <w:lang w:bidi="hi-IN"/>
        </w:rPr>
        <w:t xml:space="preserve"> M. </w:t>
      </w:r>
      <w:proofErr w:type="spellStart"/>
      <w:r w:rsidRPr="00AC72DE">
        <w:rPr>
          <w:rFonts w:ascii="Times New Roman" w:hAnsi="Times New Roman" w:cs="Times New Roman"/>
          <w:color w:val="000000"/>
          <w:sz w:val="24"/>
          <w:szCs w:val="24"/>
          <w:lang w:bidi="hi-IN"/>
        </w:rPr>
        <w:t>Parast</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“Firm Innovation and Supply Chain Resilience: A Dynamic Capability Perspective.” International Journal of Logistics Research and Applications 23, no. 3 (May 3, 2020): 254–69. </w:t>
      </w:r>
      <w:hyperlink r:id="rId51" w:history="1">
        <w:r w:rsidRPr="00AC72DE">
          <w:rPr>
            <w:rFonts w:ascii="Times New Roman" w:hAnsi="Times New Roman" w:cs="Times New Roman"/>
            <w:color w:val="000000"/>
            <w:sz w:val="24"/>
            <w:szCs w:val="24"/>
            <w:lang w:bidi="hi-IN"/>
          </w:rPr>
          <w:t>https://doi.org/10.1080/13675567.2019.1683522</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Salmela</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Hannu</w:t>
      </w:r>
      <w:proofErr w:type="spellEnd"/>
      <w:r w:rsidRPr="00AC72DE">
        <w:rPr>
          <w:rFonts w:ascii="Times New Roman" w:hAnsi="Times New Roman" w:cs="Times New Roman"/>
          <w:color w:val="000000"/>
          <w:sz w:val="24"/>
          <w:szCs w:val="24"/>
          <w:lang w:bidi="hi-IN"/>
        </w:rPr>
        <w:t xml:space="preserve">, University of Turku, </w:t>
      </w:r>
      <w:proofErr w:type="spellStart"/>
      <w:r w:rsidRPr="00AC72DE">
        <w:rPr>
          <w:rFonts w:ascii="Times New Roman" w:hAnsi="Times New Roman" w:cs="Times New Roman"/>
          <w:color w:val="000000"/>
          <w:sz w:val="24"/>
          <w:szCs w:val="24"/>
          <w:lang w:bidi="hi-IN"/>
        </w:rPr>
        <w:t>Abayomi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Baiyere</w:t>
      </w:r>
      <w:proofErr w:type="spellEnd"/>
      <w:r w:rsidRPr="00AC72DE">
        <w:rPr>
          <w:rFonts w:ascii="Times New Roman" w:hAnsi="Times New Roman" w:cs="Times New Roman"/>
          <w:color w:val="000000"/>
          <w:sz w:val="24"/>
          <w:szCs w:val="24"/>
          <w:lang w:bidi="hi-IN"/>
        </w:rPr>
        <w:t xml:space="preserve">, Copenhagen Business School / Queen’s University, </w:t>
      </w:r>
      <w:proofErr w:type="spellStart"/>
      <w:r w:rsidRPr="00AC72DE">
        <w:rPr>
          <w:rFonts w:ascii="Times New Roman" w:hAnsi="Times New Roman" w:cs="Times New Roman"/>
          <w:color w:val="000000"/>
          <w:sz w:val="24"/>
          <w:szCs w:val="24"/>
          <w:lang w:bidi="hi-IN"/>
        </w:rPr>
        <w:t>Tommi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Tapanainen</w:t>
      </w:r>
      <w:proofErr w:type="spellEnd"/>
      <w:r w:rsidRPr="00AC72DE">
        <w:rPr>
          <w:rFonts w:ascii="Times New Roman" w:hAnsi="Times New Roman" w:cs="Times New Roman"/>
          <w:color w:val="000000"/>
          <w:sz w:val="24"/>
          <w:szCs w:val="24"/>
          <w:lang w:bidi="hi-IN"/>
        </w:rPr>
        <w:t xml:space="preserve">, Pusan National University, Robert D. </w:t>
      </w:r>
      <w:proofErr w:type="spellStart"/>
      <w:r w:rsidRPr="00AC72DE">
        <w:rPr>
          <w:rFonts w:ascii="Times New Roman" w:hAnsi="Times New Roman" w:cs="Times New Roman"/>
          <w:color w:val="000000"/>
          <w:sz w:val="24"/>
          <w:szCs w:val="24"/>
          <w:lang w:bidi="hi-IN"/>
        </w:rPr>
        <w:t>Galliers</w:t>
      </w:r>
      <w:proofErr w:type="spellEnd"/>
      <w:r w:rsidRPr="00AC72DE">
        <w:rPr>
          <w:rFonts w:ascii="Times New Roman" w:hAnsi="Times New Roman" w:cs="Times New Roman"/>
          <w:color w:val="000000"/>
          <w:sz w:val="24"/>
          <w:szCs w:val="24"/>
          <w:lang w:bidi="hi-IN"/>
        </w:rPr>
        <w:t xml:space="preserve">, and Bentley University. “Digital Agility: Conceptualizing Agility for the Digital Era.” Journal of the Association for Information Systems 23, no. 5 (2022): 1080–1101. </w:t>
      </w:r>
      <w:hyperlink r:id="rId52" w:history="1">
        <w:r w:rsidRPr="00AC72DE">
          <w:rPr>
            <w:rFonts w:ascii="Times New Roman" w:hAnsi="Times New Roman" w:cs="Times New Roman"/>
            <w:color w:val="000000"/>
            <w:sz w:val="24"/>
            <w:szCs w:val="24"/>
            <w:lang w:bidi="hi-IN"/>
          </w:rPr>
          <w:t>https://doi.org/10.17705/1jais.00767</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Sambamurthy</w:t>
      </w:r>
      <w:proofErr w:type="spellEnd"/>
      <w:r w:rsidRPr="00AC72DE">
        <w:rPr>
          <w:rFonts w:ascii="Times New Roman" w:hAnsi="Times New Roman" w:cs="Times New Roman"/>
          <w:color w:val="000000"/>
          <w:sz w:val="24"/>
          <w:szCs w:val="24"/>
          <w:lang w:bidi="hi-IN"/>
        </w:rPr>
        <w:t xml:space="preserve">, V., </w:t>
      </w:r>
      <w:proofErr w:type="spellStart"/>
      <w:r w:rsidRPr="00AC72DE">
        <w:rPr>
          <w:rFonts w:ascii="Times New Roman" w:hAnsi="Times New Roman" w:cs="Times New Roman"/>
          <w:color w:val="000000"/>
          <w:sz w:val="24"/>
          <w:szCs w:val="24"/>
          <w:lang w:bidi="hi-IN"/>
        </w:rPr>
        <w:t>Bharadwaj</w:t>
      </w:r>
      <w:proofErr w:type="spellEnd"/>
      <w:r w:rsidRPr="00AC72DE">
        <w:rPr>
          <w:rFonts w:ascii="Times New Roman" w:hAnsi="Times New Roman" w:cs="Times New Roman"/>
          <w:color w:val="000000"/>
          <w:sz w:val="24"/>
          <w:szCs w:val="24"/>
          <w:lang w:bidi="hi-IN"/>
        </w:rPr>
        <w:t>, A., &amp; Grover, V. (2003).</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 xml:space="preserve">Shaping Agility through Digital Options: </w:t>
      </w:r>
      <w:proofErr w:type="spellStart"/>
      <w:r w:rsidRPr="00AC72DE">
        <w:rPr>
          <w:rFonts w:ascii="Times New Roman" w:hAnsi="Times New Roman" w:cs="Times New Roman"/>
          <w:color w:val="000000"/>
          <w:sz w:val="24"/>
          <w:szCs w:val="24"/>
          <w:lang w:bidi="hi-IN"/>
        </w:rPr>
        <w:t>Reconceptualizing</w:t>
      </w:r>
      <w:proofErr w:type="spellEnd"/>
      <w:r w:rsidRPr="00AC72DE">
        <w:rPr>
          <w:rFonts w:ascii="Times New Roman" w:hAnsi="Times New Roman" w:cs="Times New Roman"/>
          <w:color w:val="000000"/>
          <w:sz w:val="24"/>
          <w:szCs w:val="24"/>
          <w:lang w:bidi="hi-IN"/>
        </w:rPr>
        <w:t xml:space="preserve"> the Role of Information Technology in Contemporary Firms.</w:t>
      </w:r>
      <w:proofErr w:type="gramEnd"/>
      <w:r w:rsidRPr="00AC72DE">
        <w:rPr>
          <w:rFonts w:ascii="Times New Roman" w:hAnsi="Times New Roman" w:cs="Times New Roman"/>
          <w:color w:val="000000"/>
          <w:sz w:val="24"/>
          <w:szCs w:val="24"/>
          <w:lang w:bidi="hi-IN"/>
        </w:rPr>
        <w:t xml:space="preserve"> MIS Quarterly, 27(2), 237–263. </w:t>
      </w:r>
      <w:hyperlink r:id="rId53" w:history="1">
        <w:r w:rsidRPr="00AC72DE">
          <w:rPr>
            <w:color w:val="000000"/>
          </w:rPr>
          <w:t>https://doi.org/10.2307/30036530</w:t>
        </w:r>
      </w:hyperlink>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Sarstedt</w:t>
      </w:r>
      <w:proofErr w:type="spellEnd"/>
      <w:r w:rsidRPr="00AC72DE">
        <w:rPr>
          <w:rFonts w:ascii="Times New Roman" w:hAnsi="Times New Roman" w:cs="Times New Roman"/>
          <w:color w:val="000000"/>
          <w:sz w:val="24"/>
          <w:szCs w:val="24"/>
          <w:lang w:bidi="hi-IN"/>
        </w:rPr>
        <w:t xml:space="preserve">, M., Hair, J. F., </w:t>
      </w:r>
      <w:proofErr w:type="spellStart"/>
      <w:r w:rsidRPr="00AC72DE">
        <w:rPr>
          <w:rFonts w:ascii="Times New Roman" w:hAnsi="Times New Roman" w:cs="Times New Roman"/>
          <w:color w:val="000000"/>
          <w:sz w:val="24"/>
          <w:szCs w:val="24"/>
          <w:lang w:bidi="hi-IN"/>
        </w:rPr>
        <w:t>Nitzl</w:t>
      </w:r>
      <w:proofErr w:type="spellEnd"/>
      <w:r w:rsidRPr="00AC72DE">
        <w:rPr>
          <w:rFonts w:ascii="Times New Roman" w:hAnsi="Times New Roman" w:cs="Times New Roman"/>
          <w:color w:val="000000"/>
          <w:sz w:val="24"/>
          <w:szCs w:val="24"/>
          <w:lang w:bidi="hi-IN"/>
        </w:rPr>
        <w:t xml:space="preserve">, C., </w:t>
      </w:r>
      <w:proofErr w:type="spellStart"/>
      <w:r w:rsidRPr="00AC72DE">
        <w:rPr>
          <w:rFonts w:ascii="Times New Roman" w:hAnsi="Times New Roman" w:cs="Times New Roman"/>
          <w:color w:val="000000"/>
          <w:sz w:val="24"/>
          <w:szCs w:val="24"/>
          <w:lang w:bidi="hi-IN"/>
        </w:rPr>
        <w:t>Ringle</w:t>
      </w:r>
      <w:proofErr w:type="spellEnd"/>
      <w:r w:rsidRPr="00AC72DE">
        <w:rPr>
          <w:rFonts w:ascii="Times New Roman" w:hAnsi="Times New Roman" w:cs="Times New Roman"/>
          <w:color w:val="000000"/>
          <w:sz w:val="24"/>
          <w:szCs w:val="24"/>
          <w:lang w:bidi="hi-IN"/>
        </w:rPr>
        <w:t>, C. M., &amp; Howard, M. C. (2020).</w:t>
      </w:r>
      <w:proofErr w:type="gramEnd"/>
      <w:r w:rsidRPr="00AC72DE">
        <w:rPr>
          <w:rFonts w:ascii="Times New Roman" w:hAnsi="Times New Roman" w:cs="Times New Roman"/>
          <w:color w:val="000000"/>
          <w:sz w:val="24"/>
          <w:szCs w:val="24"/>
          <w:lang w:bidi="hi-IN"/>
        </w:rPr>
        <w:t xml:space="preserve"> Beyond a tandem analysis of SEM and PROCESS: Use of PLS-SEM for mediation analyses! International Journal of Market Research, 62(3), 288–299. https://doi.org/10.1177/1470785320915686</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Scala</w:t>
      </w:r>
      <w:proofErr w:type="spellEnd"/>
      <w:r w:rsidRPr="00AC72DE">
        <w:rPr>
          <w:rFonts w:ascii="Times New Roman" w:hAnsi="Times New Roman" w:cs="Times New Roman"/>
          <w:color w:val="000000"/>
          <w:sz w:val="24"/>
          <w:szCs w:val="24"/>
          <w:lang w:bidi="hi-IN"/>
        </w:rPr>
        <w:t>, Barbara, and Claire Frances Lindsay.</w:t>
      </w:r>
      <w:proofErr w:type="gramEnd"/>
      <w:r w:rsidRPr="00AC72DE">
        <w:rPr>
          <w:rFonts w:ascii="Times New Roman" w:hAnsi="Times New Roman" w:cs="Times New Roman"/>
          <w:color w:val="000000"/>
          <w:sz w:val="24"/>
          <w:szCs w:val="24"/>
          <w:lang w:bidi="hi-IN"/>
        </w:rPr>
        <w:t xml:space="preserve"> “Supply Chain Resilience during Pandemic Disruption: Evidence from Healthcare.” Supply Chain Management: An International Journal 26, no. 6 (September 6, 2021): 672–88. </w:t>
      </w:r>
      <w:hyperlink r:id="rId54" w:history="1">
        <w:r w:rsidRPr="00AC72DE">
          <w:rPr>
            <w:rFonts w:ascii="Times New Roman" w:hAnsi="Times New Roman" w:cs="Times New Roman"/>
            <w:color w:val="000000"/>
            <w:sz w:val="24"/>
            <w:szCs w:val="24"/>
            <w:lang w:bidi="hi-IN"/>
          </w:rPr>
          <w:t>https://doi.org/10.1108/SCM-09-2020-0434</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Seo</w:t>
      </w:r>
      <w:proofErr w:type="spellEnd"/>
      <w:r w:rsidRPr="00AC72DE">
        <w:rPr>
          <w:rFonts w:ascii="Times New Roman" w:hAnsi="Times New Roman" w:cs="Times New Roman"/>
          <w:color w:val="000000"/>
          <w:sz w:val="24"/>
          <w:szCs w:val="24"/>
          <w:lang w:bidi="hi-IN"/>
        </w:rPr>
        <w:t>, D., &amp; La Paz, A. I. (2008).</w:t>
      </w:r>
      <w:proofErr w:type="gramEnd"/>
      <w:r w:rsidRPr="00AC72DE">
        <w:rPr>
          <w:rFonts w:ascii="Times New Roman" w:hAnsi="Times New Roman" w:cs="Times New Roman"/>
          <w:color w:val="000000"/>
          <w:sz w:val="24"/>
          <w:szCs w:val="24"/>
          <w:lang w:bidi="hi-IN"/>
        </w:rPr>
        <w:t xml:space="preserve"> Exploring the dark side of IS in achieving organizational agility. Communications of the ACM, 51(11), 136-139.</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Shao, M., &amp; </w:t>
      </w:r>
      <w:proofErr w:type="gramStart"/>
      <w:r w:rsidRPr="00AC72DE">
        <w:rPr>
          <w:rFonts w:ascii="Times New Roman" w:hAnsi="Times New Roman" w:cs="Times New Roman"/>
          <w:color w:val="000000"/>
          <w:sz w:val="24"/>
          <w:szCs w:val="24"/>
          <w:lang w:bidi="hi-IN"/>
        </w:rPr>
        <w:t>An</w:t>
      </w:r>
      <w:proofErr w:type="gramEnd"/>
      <w:r w:rsidRPr="00AC72DE">
        <w:rPr>
          <w:rFonts w:ascii="Times New Roman" w:hAnsi="Times New Roman" w:cs="Times New Roman"/>
          <w:color w:val="000000"/>
          <w:sz w:val="24"/>
          <w:szCs w:val="24"/>
          <w:lang w:bidi="hi-IN"/>
        </w:rPr>
        <w:t>, L. (2024). Contradiction or Consistency: The “Double-Edged Sword” Effect of Asset Specificity on Organizational Resilience. IEEE Transactions on Engineering Management, 71, 1900–1911. https://doi.org/10.1109/TEM.2022.3164429</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Sirmon</w:t>
      </w:r>
      <w:proofErr w:type="spellEnd"/>
      <w:r w:rsidRPr="00AC72DE">
        <w:rPr>
          <w:rFonts w:ascii="Times New Roman" w:hAnsi="Times New Roman" w:cs="Times New Roman"/>
          <w:color w:val="000000"/>
          <w:sz w:val="24"/>
          <w:szCs w:val="24"/>
          <w:lang w:bidi="hi-IN"/>
        </w:rPr>
        <w:t xml:space="preserve">, D. G., </w:t>
      </w:r>
      <w:proofErr w:type="spellStart"/>
      <w:r w:rsidRPr="00AC72DE">
        <w:rPr>
          <w:rFonts w:ascii="Times New Roman" w:hAnsi="Times New Roman" w:cs="Times New Roman"/>
          <w:color w:val="000000"/>
          <w:sz w:val="24"/>
          <w:szCs w:val="24"/>
          <w:lang w:bidi="hi-IN"/>
        </w:rPr>
        <w:t>Hitt</w:t>
      </w:r>
      <w:proofErr w:type="spellEnd"/>
      <w:r w:rsidRPr="00AC72DE">
        <w:rPr>
          <w:rFonts w:ascii="Times New Roman" w:hAnsi="Times New Roman" w:cs="Times New Roman"/>
          <w:color w:val="000000"/>
          <w:sz w:val="24"/>
          <w:szCs w:val="24"/>
          <w:lang w:bidi="hi-IN"/>
        </w:rPr>
        <w:t>, M. A., &amp; Ireland, R. D. (2007). Managing firm resources in dynamic environments to create value: Looking inside the black box. Academy of Management Review, 32(1), 273–292.</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Sirmon</w:t>
      </w:r>
      <w:proofErr w:type="spellEnd"/>
      <w:r w:rsidRPr="00AC72DE">
        <w:rPr>
          <w:rFonts w:ascii="Times New Roman" w:hAnsi="Times New Roman" w:cs="Times New Roman"/>
          <w:color w:val="000000"/>
          <w:sz w:val="24"/>
          <w:szCs w:val="24"/>
          <w:lang w:bidi="hi-IN"/>
        </w:rPr>
        <w:t xml:space="preserve">, D. G., </w:t>
      </w:r>
      <w:proofErr w:type="spellStart"/>
      <w:r w:rsidRPr="00AC72DE">
        <w:rPr>
          <w:rFonts w:ascii="Times New Roman" w:hAnsi="Times New Roman" w:cs="Times New Roman"/>
          <w:color w:val="000000"/>
          <w:sz w:val="24"/>
          <w:szCs w:val="24"/>
          <w:lang w:bidi="hi-IN"/>
        </w:rPr>
        <w:t>Hitt</w:t>
      </w:r>
      <w:proofErr w:type="spellEnd"/>
      <w:r w:rsidRPr="00AC72DE">
        <w:rPr>
          <w:rFonts w:ascii="Times New Roman" w:hAnsi="Times New Roman" w:cs="Times New Roman"/>
          <w:color w:val="000000"/>
          <w:sz w:val="24"/>
          <w:szCs w:val="24"/>
          <w:lang w:bidi="hi-IN"/>
        </w:rPr>
        <w:t>, M. A., Ireland, R. D., &amp; Gilbert, B. A. (2011). Resource orchestration to create competitive advantage: Breadth, depth, and life cycle effects. </w:t>
      </w:r>
      <w:proofErr w:type="gramStart"/>
      <w:r w:rsidRPr="00AC72DE">
        <w:rPr>
          <w:rFonts w:ascii="Times New Roman" w:hAnsi="Times New Roman" w:cs="Times New Roman"/>
          <w:color w:val="000000"/>
          <w:sz w:val="24"/>
          <w:szCs w:val="24"/>
          <w:lang w:bidi="hi-IN"/>
        </w:rPr>
        <w:t>Journal of management, 37(5), 1390-1412.</w:t>
      </w:r>
      <w:proofErr w:type="gramEnd"/>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181F55">
        <w:rPr>
          <w:rFonts w:ascii="Times New Roman" w:hAnsi="Times New Roman" w:cs="Times New Roman"/>
          <w:color w:val="000000"/>
          <w:sz w:val="24"/>
          <w:szCs w:val="24"/>
          <w:lang w:bidi="hi-IN"/>
        </w:rPr>
        <w:lastRenderedPageBreak/>
        <w:t>Stei</w:t>
      </w:r>
      <w:proofErr w:type="spellEnd"/>
      <w:r w:rsidRPr="00181F55">
        <w:rPr>
          <w:rFonts w:ascii="Times New Roman" w:hAnsi="Times New Roman" w:cs="Times New Roman"/>
          <w:color w:val="000000"/>
          <w:sz w:val="24"/>
          <w:szCs w:val="24"/>
          <w:lang w:bidi="hi-IN"/>
        </w:rPr>
        <w:t xml:space="preserve">, Gerald, Alexander </w:t>
      </w:r>
      <w:proofErr w:type="spellStart"/>
      <w:r w:rsidRPr="00181F55">
        <w:rPr>
          <w:rFonts w:ascii="Times New Roman" w:hAnsi="Times New Roman" w:cs="Times New Roman"/>
          <w:color w:val="000000"/>
          <w:sz w:val="24"/>
          <w:szCs w:val="24"/>
          <w:lang w:bidi="hi-IN"/>
        </w:rPr>
        <w:t>Rossmann</w:t>
      </w:r>
      <w:proofErr w:type="spellEnd"/>
      <w:r w:rsidRPr="00181F55">
        <w:rPr>
          <w:rFonts w:ascii="Times New Roman" w:hAnsi="Times New Roman" w:cs="Times New Roman"/>
          <w:color w:val="000000"/>
          <w:sz w:val="24"/>
          <w:szCs w:val="24"/>
          <w:lang w:bidi="hi-IN"/>
        </w:rPr>
        <w:t xml:space="preserve">, and </w:t>
      </w:r>
      <w:proofErr w:type="spellStart"/>
      <w:r w:rsidRPr="00181F55">
        <w:rPr>
          <w:rFonts w:ascii="Times New Roman" w:hAnsi="Times New Roman" w:cs="Times New Roman"/>
          <w:color w:val="000000"/>
          <w:sz w:val="24"/>
          <w:szCs w:val="24"/>
          <w:lang w:bidi="hi-IN"/>
        </w:rPr>
        <w:t>Levente</w:t>
      </w:r>
      <w:proofErr w:type="spellEnd"/>
      <w:r w:rsidRPr="00181F55">
        <w:rPr>
          <w:rFonts w:ascii="Times New Roman" w:hAnsi="Times New Roman" w:cs="Times New Roman"/>
          <w:color w:val="000000"/>
          <w:sz w:val="24"/>
          <w:szCs w:val="24"/>
          <w:lang w:bidi="hi-IN"/>
        </w:rPr>
        <w:t xml:space="preserve"> </w:t>
      </w:r>
      <w:proofErr w:type="spellStart"/>
      <w:r w:rsidRPr="00181F55">
        <w:rPr>
          <w:rFonts w:ascii="Times New Roman" w:hAnsi="Times New Roman" w:cs="Times New Roman"/>
          <w:color w:val="000000"/>
          <w:sz w:val="24"/>
          <w:szCs w:val="24"/>
          <w:lang w:bidi="hi-IN"/>
        </w:rPr>
        <w:t>Szász</w:t>
      </w:r>
      <w:proofErr w:type="spellEnd"/>
      <w:r w:rsidRPr="00181F55">
        <w:rPr>
          <w:rFonts w:ascii="Times New Roman" w:hAnsi="Times New Roman" w:cs="Times New Roman"/>
          <w:color w:val="000000"/>
          <w:sz w:val="24"/>
          <w:szCs w:val="24"/>
          <w:lang w:bidi="hi-IN"/>
        </w:rPr>
        <w:t>.</w:t>
      </w:r>
      <w:proofErr w:type="gramEnd"/>
      <w:r w:rsidRPr="00181F55">
        <w:rPr>
          <w:rFonts w:ascii="Times New Roman" w:hAnsi="Times New Roman" w:cs="Times New Roman"/>
          <w:color w:val="000000"/>
          <w:sz w:val="24"/>
          <w:szCs w:val="24"/>
          <w:lang w:bidi="hi-IN"/>
        </w:rPr>
        <w:t xml:space="preserve"> “Leveraging Organizational Knowledge to Develop Agility and Improve Performance: The Role of Ambidexterity.” International Journal of Operations &amp; Production Management 44, no. 8 (July 25, 2024): 1446–66. </w:t>
      </w:r>
      <w:hyperlink r:id="rId55" w:history="1">
        <w:r w:rsidRPr="00AC72DE">
          <w:rPr>
            <w:rFonts w:ascii="Times New Roman" w:hAnsi="Times New Roman" w:cs="Times New Roman"/>
            <w:color w:val="000000"/>
            <w:sz w:val="24"/>
            <w:szCs w:val="24"/>
            <w:lang w:bidi="hi-IN"/>
          </w:rPr>
          <w:t>https://doi.org/10.1108/IJOPM-04-2023-0274</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Stoel</w:t>
      </w:r>
      <w:proofErr w:type="spellEnd"/>
      <w:r w:rsidRPr="00AC72DE">
        <w:rPr>
          <w:rFonts w:ascii="Times New Roman" w:hAnsi="Times New Roman" w:cs="Times New Roman"/>
          <w:color w:val="000000"/>
          <w:sz w:val="24"/>
          <w:szCs w:val="24"/>
          <w:lang w:bidi="hi-IN"/>
        </w:rPr>
        <w:t xml:space="preserve">, M. D., &amp; </w:t>
      </w:r>
      <w:proofErr w:type="spellStart"/>
      <w:r w:rsidRPr="00AC72DE">
        <w:rPr>
          <w:rFonts w:ascii="Times New Roman" w:hAnsi="Times New Roman" w:cs="Times New Roman"/>
          <w:color w:val="000000"/>
          <w:sz w:val="24"/>
          <w:szCs w:val="24"/>
          <w:lang w:bidi="hi-IN"/>
        </w:rPr>
        <w:t>Muhanna</w:t>
      </w:r>
      <w:proofErr w:type="spellEnd"/>
      <w:r w:rsidRPr="00AC72DE">
        <w:rPr>
          <w:rFonts w:ascii="Times New Roman" w:hAnsi="Times New Roman" w:cs="Times New Roman"/>
          <w:color w:val="000000"/>
          <w:sz w:val="24"/>
          <w:szCs w:val="24"/>
          <w:lang w:bidi="hi-IN"/>
        </w:rPr>
        <w:t>, W. A. (2009).</w:t>
      </w:r>
      <w:proofErr w:type="gramEnd"/>
      <w:r w:rsidRPr="00AC72DE">
        <w:rPr>
          <w:rFonts w:ascii="Times New Roman" w:hAnsi="Times New Roman" w:cs="Times New Roman"/>
          <w:color w:val="000000"/>
          <w:sz w:val="24"/>
          <w:szCs w:val="24"/>
          <w:lang w:bidi="hi-IN"/>
        </w:rPr>
        <w:t xml:space="preserve"> IT capabilities and firm performance: A contingency analysis of the role of industry and IT capability type. Information &amp; Management, 46(3), 181-189.</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Sutcliffe, K. M., &amp; </w:t>
      </w:r>
      <w:proofErr w:type="spellStart"/>
      <w:r w:rsidRPr="00AC72DE">
        <w:rPr>
          <w:rFonts w:ascii="Times New Roman" w:hAnsi="Times New Roman" w:cs="Times New Roman"/>
          <w:color w:val="000000"/>
          <w:sz w:val="24"/>
          <w:szCs w:val="24"/>
          <w:lang w:bidi="hi-IN"/>
        </w:rPr>
        <w:t>Vogus</w:t>
      </w:r>
      <w:proofErr w:type="spellEnd"/>
      <w:r w:rsidRPr="00AC72DE">
        <w:rPr>
          <w:rFonts w:ascii="Times New Roman" w:hAnsi="Times New Roman" w:cs="Times New Roman"/>
          <w:color w:val="000000"/>
          <w:sz w:val="24"/>
          <w:szCs w:val="24"/>
          <w:lang w:bidi="hi-IN"/>
        </w:rPr>
        <w:t>, T. J. (2003).</w:t>
      </w:r>
      <w:proofErr w:type="gramEnd"/>
      <w:r w:rsidRPr="00AC72DE">
        <w:rPr>
          <w:rFonts w:ascii="Times New Roman" w:hAnsi="Times New Roman" w:cs="Times New Roman"/>
          <w:color w:val="000000"/>
          <w:sz w:val="24"/>
          <w:szCs w:val="24"/>
          <w:lang w:bidi="hi-IN"/>
        </w:rPr>
        <w:t xml:space="preserve"> </w:t>
      </w:r>
      <w:proofErr w:type="gramStart"/>
      <w:r w:rsidRPr="00AC72DE">
        <w:rPr>
          <w:i/>
          <w:iCs/>
          <w:color w:val="000000"/>
          <w:lang w:bidi="hi-IN"/>
        </w:rPr>
        <w:t>Organizing for resilience</w:t>
      </w:r>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In K. S. Cameron, J. E. Dutton, &amp; R. E. Quinn (Eds.), </w:t>
      </w:r>
      <w:r w:rsidRPr="00AC72DE">
        <w:rPr>
          <w:i/>
          <w:iCs/>
          <w:color w:val="000000"/>
          <w:lang w:bidi="hi-IN"/>
        </w:rPr>
        <w:t>Positive Organizational Scholarship</w:t>
      </w:r>
      <w:r w:rsidRPr="00AC72DE">
        <w:rPr>
          <w:rFonts w:ascii="Times New Roman" w:hAnsi="Times New Roman" w:cs="Times New Roman"/>
          <w:color w:val="000000"/>
          <w:sz w:val="24"/>
          <w:szCs w:val="24"/>
          <w:lang w:bidi="hi-IN"/>
        </w:rPr>
        <w:t xml:space="preserve"> (pp. 94–110). San Francisco: </w:t>
      </w:r>
      <w:proofErr w:type="spellStart"/>
      <w:r w:rsidRPr="00AC72DE">
        <w:rPr>
          <w:rFonts w:ascii="Times New Roman" w:hAnsi="Times New Roman" w:cs="Times New Roman"/>
          <w:color w:val="000000"/>
          <w:sz w:val="24"/>
          <w:szCs w:val="24"/>
          <w:lang w:bidi="hi-IN"/>
        </w:rPr>
        <w:t>Berrett</w:t>
      </w:r>
      <w:proofErr w:type="spellEnd"/>
      <w:r w:rsidRPr="00AC72DE">
        <w:rPr>
          <w:rFonts w:ascii="Times New Roman" w:hAnsi="Times New Roman" w:cs="Times New Roman"/>
          <w:color w:val="000000"/>
          <w:sz w:val="24"/>
          <w:szCs w:val="24"/>
          <w:lang w:bidi="hi-IN"/>
        </w:rPr>
        <w:t>-Koehler.</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Svahn</w:t>
      </w:r>
      <w:proofErr w:type="spellEnd"/>
      <w:r w:rsidRPr="00AC72DE">
        <w:rPr>
          <w:rFonts w:ascii="Times New Roman" w:hAnsi="Times New Roman" w:cs="Times New Roman"/>
          <w:color w:val="000000"/>
          <w:sz w:val="24"/>
          <w:szCs w:val="24"/>
          <w:lang w:bidi="hi-IN"/>
        </w:rPr>
        <w:t xml:space="preserve">, F., </w:t>
      </w:r>
      <w:proofErr w:type="spellStart"/>
      <w:r w:rsidRPr="00AC72DE">
        <w:rPr>
          <w:rFonts w:ascii="Times New Roman" w:hAnsi="Times New Roman" w:cs="Times New Roman"/>
          <w:color w:val="000000"/>
          <w:sz w:val="24"/>
          <w:szCs w:val="24"/>
          <w:lang w:bidi="hi-IN"/>
        </w:rPr>
        <w:t>Mathiassen</w:t>
      </w:r>
      <w:proofErr w:type="spellEnd"/>
      <w:r w:rsidRPr="00AC72DE">
        <w:rPr>
          <w:rFonts w:ascii="Times New Roman" w:hAnsi="Times New Roman" w:cs="Times New Roman"/>
          <w:color w:val="000000"/>
          <w:sz w:val="24"/>
          <w:szCs w:val="24"/>
          <w:lang w:bidi="hi-IN"/>
        </w:rPr>
        <w:t>, L., &amp; Lindgren, R. (2017).</w:t>
      </w:r>
      <w:proofErr w:type="gramEnd"/>
      <w:r w:rsidRPr="00AC72DE">
        <w:rPr>
          <w:rFonts w:ascii="Times New Roman" w:hAnsi="Times New Roman" w:cs="Times New Roman"/>
          <w:color w:val="000000"/>
          <w:sz w:val="24"/>
          <w:szCs w:val="24"/>
          <w:lang w:bidi="hi-IN"/>
        </w:rPr>
        <w:t xml:space="preserve"> Embracing digital innovation in incumbent firms: How Volvo Cars managed competing concerns. MIS Quarterly, 41(1), 239–254.</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Teece, D. J., Pisano, G., &amp; </w:t>
      </w:r>
      <w:proofErr w:type="spellStart"/>
      <w:r w:rsidRPr="00AC72DE">
        <w:rPr>
          <w:rFonts w:ascii="Times New Roman" w:hAnsi="Times New Roman" w:cs="Times New Roman"/>
          <w:color w:val="000000"/>
          <w:sz w:val="24"/>
          <w:szCs w:val="24"/>
          <w:lang w:bidi="hi-IN"/>
        </w:rPr>
        <w:t>Shuen</w:t>
      </w:r>
      <w:proofErr w:type="spellEnd"/>
      <w:r w:rsidRPr="00AC72DE">
        <w:rPr>
          <w:rFonts w:ascii="Times New Roman" w:hAnsi="Times New Roman" w:cs="Times New Roman"/>
          <w:color w:val="000000"/>
          <w:sz w:val="24"/>
          <w:szCs w:val="24"/>
          <w:lang w:bidi="hi-IN"/>
        </w:rPr>
        <w:t xml:space="preserve">, A. (1997). </w:t>
      </w:r>
      <w:proofErr w:type="gramStart"/>
      <w:r w:rsidRPr="00AC72DE">
        <w:rPr>
          <w:i/>
          <w:iCs/>
          <w:color w:val="000000"/>
          <w:lang w:bidi="hi-IN"/>
        </w:rPr>
        <w:t>Dynamic capabilities and strategic management</w:t>
      </w:r>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Strategic Management Journal, 18(7), 509–533. https://doi.org/10.1002</w:t>
      </w:r>
      <w:proofErr w:type="gramStart"/>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SICI)1097-0266(199708)18:7</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Teece, D. J. (2007).</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 xml:space="preserve">Explicating dynamic capabilities: The nature and </w:t>
      </w:r>
      <w:proofErr w:type="spellStart"/>
      <w:r w:rsidRPr="00AC72DE">
        <w:rPr>
          <w:rFonts w:ascii="Times New Roman" w:hAnsi="Times New Roman" w:cs="Times New Roman"/>
          <w:color w:val="000000"/>
          <w:sz w:val="24"/>
          <w:szCs w:val="24"/>
          <w:lang w:bidi="hi-IN"/>
        </w:rPr>
        <w:t>microfoundations</w:t>
      </w:r>
      <w:proofErr w:type="spellEnd"/>
      <w:r w:rsidRPr="00AC72DE">
        <w:rPr>
          <w:rFonts w:ascii="Times New Roman" w:hAnsi="Times New Roman" w:cs="Times New Roman"/>
          <w:color w:val="000000"/>
          <w:sz w:val="24"/>
          <w:szCs w:val="24"/>
          <w:lang w:bidi="hi-IN"/>
        </w:rPr>
        <w:t xml:space="preserve"> of (sustainable) enterprise performance.</w:t>
      </w:r>
      <w:proofErr w:type="gramEnd"/>
      <w:r w:rsidRPr="00AC72DE">
        <w:rPr>
          <w:rFonts w:ascii="Times New Roman" w:hAnsi="Times New Roman" w:cs="Times New Roman"/>
          <w:color w:val="000000"/>
          <w:sz w:val="24"/>
          <w:szCs w:val="24"/>
          <w:lang w:bidi="hi-IN"/>
        </w:rPr>
        <w:t xml:space="preserve"> Strategic Management Journal, 28(13), 1319–1350.</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Teece, D. J. (2014).</w:t>
      </w:r>
      <w:proofErr w:type="gramEnd"/>
      <w:r w:rsidRPr="00AC72DE">
        <w:rPr>
          <w:rFonts w:ascii="Times New Roman" w:hAnsi="Times New Roman" w:cs="Times New Roman"/>
          <w:color w:val="000000"/>
          <w:sz w:val="24"/>
          <w:szCs w:val="24"/>
          <w:lang w:bidi="hi-IN"/>
        </w:rPr>
        <w:t xml:space="preserve"> The foundations of enterprise performance: Dynamic and ordinary capabilities in an (economic) theory of firms. Academy of Management Perspectives, 28(4), 328–352.</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Teece, D. J., </w:t>
      </w:r>
      <w:proofErr w:type="spellStart"/>
      <w:r w:rsidRPr="00AC72DE">
        <w:rPr>
          <w:rFonts w:ascii="Times New Roman" w:hAnsi="Times New Roman" w:cs="Times New Roman"/>
          <w:color w:val="000000"/>
          <w:sz w:val="24"/>
          <w:szCs w:val="24"/>
          <w:lang w:bidi="hi-IN"/>
        </w:rPr>
        <w:t>Peteraf</w:t>
      </w:r>
      <w:proofErr w:type="spellEnd"/>
      <w:r w:rsidRPr="00AC72DE">
        <w:rPr>
          <w:rFonts w:ascii="Times New Roman" w:hAnsi="Times New Roman" w:cs="Times New Roman"/>
          <w:color w:val="000000"/>
          <w:sz w:val="24"/>
          <w:szCs w:val="24"/>
          <w:lang w:bidi="hi-IN"/>
        </w:rPr>
        <w:t xml:space="preserve">, M., &amp; </w:t>
      </w:r>
      <w:proofErr w:type="spellStart"/>
      <w:r w:rsidRPr="00AC72DE">
        <w:rPr>
          <w:rFonts w:ascii="Times New Roman" w:hAnsi="Times New Roman" w:cs="Times New Roman"/>
          <w:color w:val="000000"/>
          <w:sz w:val="24"/>
          <w:szCs w:val="24"/>
          <w:lang w:bidi="hi-IN"/>
        </w:rPr>
        <w:t>Leih</w:t>
      </w:r>
      <w:proofErr w:type="spellEnd"/>
      <w:r w:rsidRPr="00AC72DE">
        <w:rPr>
          <w:rFonts w:ascii="Times New Roman" w:hAnsi="Times New Roman" w:cs="Times New Roman"/>
          <w:color w:val="000000"/>
          <w:sz w:val="24"/>
          <w:szCs w:val="24"/>
          <w:lang w:bidi="hi-IN"/>
        </w:rPr>
        <w:t>, S. (2016).</w:t>
      </w:r>
      <w:proofErr w:type="gramEnd"/>
      <w:r w:rsidRPr="00AC72DE">
        <w:rPr>
          <w:rFonts w:ascii="Times New Roman" w:hAnsi="Times New Roman" w:cs="Times New Roman"/>
          <w:color w:val="000000"/>
          <w:sz w:val="24"/>
          <w:szCs w:val="24"/>
          <w:lang w:bidi="hi-IN"/>
        </w:rPr>
        <w:t xml:space="preserve"> Dynamic capabilities and organizational agility: Risk, uncertainty, and strategy in the innovation economy. California Management Review, 58(4), 13–35.</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 xml:space="preserve">Teece, D.J. (2018), “Dynamic capabilities as (workable) management systems theory”, Journal of Management &amp; Organization, Cambridge University Press, Vol. 24 No. 3, pp. 359-368, </w:t>
      </w:r>
      <w:proofErr w:type="spellStart"/>
      <w:r w:rsidRPr="00AC72DE">
        <w:rPr>
          <w:rFonts w:ascii="Times New Roman" w:hAnsi="Times New Roman" w:cs="Times New Roman"/>
          <w:color w:val="000000"/>
          <w:sz w:val="24"/>
          <w:szCs w:val="24"/>
          <w:lang w:bidi="hi-IN"/>
        </w:rPr>
        <w:t>doi</w:t>
      </w:r>
      <w:proofErr w:type="spellEnd"/>
      <w:r w:rsidRPr="00AC72DE">
        <w:rPr>
          <w:rFonts w:ascii="Times New Roman" w:hAnsi="Times New Roman" w:cs="Times New Roman"/>
          <w:color w:val="000000"/>
          <w:sz w:val="24"/>
          <w:szCs w:val="24"/>
          <w:lang w:bidi="hi-IN"/>
        </w:rPr>
        <w:t>: 10.1017/jmo.2017.75.</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Teubner</w:t>
      </w:r>
      <w:proofErr w:type="spellEnd"/>
      <w:r w:rsidRPr="00AC72DE">
        <w:rPr>
          <w:rFonts w:ascii="Times New Roman" w:hAnsi="Times New Roman" w:cs="Times New Roman"/>
          <w:color w:val="000000"/>
          <w:sz w:val="24"/>
          <w:szCs w:val="24"/>
          <w:lang w:bidi="hi-IN"/>
        </w:rPr>
        <w:t xml:space="preserve">, R. A., &amp; </w:t>
      </w:r>
      <w:proofErr w:type="spellStart"/>
      <w:r w:rsidRPr="00AC72DE">
        <w:rPr>
          <w:rFonts w:ascii="Times New Roman" w:hAnsi="Times New Roman" w:cs="Times New Roman"/>
          <w:color w:val="000000"/>
          <w:sz w:val="24"/>
          <w:szCs w:val="24"/>
          <w:lang w:bidi="hi-IN"/>
        </w:rPr>
        <w:t>Stockhinger</w:t>
      </w:r>
      <w:proofErr w:type="spellEnd"/>
      <w:r w:rsidRPr="00AC72DE">
        <w:rPr>
          <w:rFonts w:ascii="Times New Roman" w:hAnsi="Times New Roman" w:cs="Times New Roman"/>
          <w:color w:val="000000"/>
          <w:sz w:val="24"/>
          <w:szCs w:val="24"/>
          <w:lang w:bidi="hi-IN"/>
        </w:rPr>
        <w:t>, J. (2020).</w:t>
      </w:r>
      <w:proofErr w:type="gramEnd"/>
      <w:r w:rsidRPr="00AC72DE">
        <w:rPr>
          <w:rFonts w:ascii="Times New Roman" w:hAnsi="Times New Roman" w:cs="Times New Roman"/>
          <w:color w:val="000000"/>
          <w:sz w:val="24"/>
          <w:szCs w:val="24"/>
          <w:lang w:bidi="hi-IN"/>
        </w:rPr>
        <w:t xml:space="preserve"> Literature review: Understanding information systems strategy in the digital age. </w:t>
      </w:r>
      <w:proofErr w:type="gramStart"/>
      <w:r w:rsidRPr="00AC72DE">
        <w:rPr>
          <w:rFonts w:ascii="Times New Roman" w:hAnsi="Times New Roman" w:cs="Times New Roman"/>
          <w:color w:val="000000"/>
          <w:sz w:val="24"/>
          <w:szCs w:val="24"/>
          <w:lang w:bidi="hi-IN"/>
        </w:rPr>
        <w:t>The Journal of Strategic Information Systems, 29(4), 101642.</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Thornhill</w:t>
      </w:r>
      <w:proofErr w:type="spellEnd"/>
      <w:r w:rsidRPr="00AC72DE">
        <w:rPr>
          <w:rFonts w:ascii="Times New Roman" w:hAnsi="Times New Roman" w:cs="Times New Roman"/>
          <w:color w:val="000000"/>
          <w:sz w:val="24"/>
          <w:szCs w:val="24"/>
          <w:lang w:bidi="hi-IN"/>
        </w:rPr>
        <w:t xml:space="preserve">, S. and </w:t>
      </w:r>
      <w:proofErr w:type="spellStart"/>
      <w:r w:rsidRPr="00AC72DE">
        <w:rPr>
          <w:rFonts w:ascii="Times New Roman" w:hAnsi="Times New Roman" w:cs="Times New Roman"/>
          <w:color w:val="000000"/>
          <w:sz w:val="24"/>
          <w:szCs w:val="24"/>
          <w:lang w:bidi="hi-IN"/>
        </w:rPr>
        <w:t>Amit</w:t>
      </w:r>
      <w:proofErr w:type="spellEnd"/>
      <w:r w:rsidRPr="00AC72DE">
        <w:rPr>
          <w:rFonts w:ascii="Times New Roman" w:hAnsi="Times New Roman" w:cs="Times New Roman"/>
          <w:color w:val="000000"/>
          <w:sz w:val="24"/>
          <w:szCs w:val="24"/>
          <w:lang w:bidi="hi-IN"/>
        </w:rPr>
        <w:t>, R. (2003), “</w:t>
      </w:r>
      <w:r>
        <w:rPr>
          <w:rFonts w:ascii="Times New Roman" w:hAnsi="Times New Roman" w:cs="Times New Roman"/>
          <w:color w:val="000000"/>
          <w:sz w:val="24"/>
          <w:szCs w:val="24"/>
          <w:lang w:bidi="hi-IN"/>
        </w:rPr>
        <w:t xml:space="preserve">Learning about failure: </w:t>
      </w:r>
      <w:r w:rsidRPr="00AC72DE">
        <w:rPr>
          <w:rFonts w:ascii="Times New Roman" w:hAnsi="Times New Roman" w:cs="Times New Roman"/>
          <w:color w:val="000000"/>
          <w:sz w:val="24"/>
          <w:szCs w:val="24"/>
          <w:lang w:bidi="hi-IN"/>
        </w:rPr>
        <w:t>bankruptcy, firm age, and the resource-based view”</w:t>
      </w:r>
      <w:r>
        <w:rPr>
          <w:rFonts w:ascii="Times New Roman" w:hAnsi="Times New Roman" w:cs="Times New Roman"/>
          <w:color w:val="000000"/>
          <w:sz w:val="24"/>
          <w:szCs w:val="24"/>
          <w:lang w:bidi="hi-IN"/>
        </w:rPr>
        <w:t xml:space="preserve">, </w:t>
      </w:r>
      <w:r w:rsidRPr="00AC72DE">
        <w:rPr>
          <w:rFonts w:ascii="Times New Roman" w:hAnsi="Times New Roman" w:cs="Times New Roman"/>
          <w:color w:val="000000"/>
          <w:sz w:val="24"/>
          <w:szCs w:val="24"/>
          <w:lang w:bidi="hi-IN"/>
        </w:rPr>
        <w:t>Organization Science, INFORMS, Vol. 14No.5</w:t>
      </w:r>
      <w:proofErr w:type="gramStart"/>
      <w:r w:rsidRPr="00AC72DE">
        <w:rPr>
          <w:rFonts w:ascii="Times New Roman" w:hAnsi="Times New Roman" w:cs="Times New Roman"/>
          <w:color w:val="000000"/>
          <w:sz w:val="24"/>
          <w:szCs w:val="24"/>
          <w:lang w:bidi="hi-IN"/>
        </w:rPr>
        <w:t>,pp</w:t>
      </w:r>
      <w:proofErr w:type="gramEnd"/>
      <w:r w:rsidRPr="00AC72DE">
        <w:rPr>
          <w:rFonts w:ascii="Times New Roman" w:hAnsi="Times New Roman" w:cs="Times New Roman"/>
          <w:color w:val="000000"/>
          <w:sz w:val="24"/>
          <w:szCs w:val="24"/>
          <w:lang w:bidi="hi-IN"/>
        </w:rPr>
        <w:t>. 497-509.</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Tushman, M. L., &amp; O'Reilly, C. A. (1996).</w:t>
      </w:r>
      <w:proofErr w:type="gramEnd"/>
      <w:r w:rsidRPr="00AC72DE">
        <w:rPr>
          <w:rFonts w:ascii="Times New Roman" w:hAnsi="Times New Roman" w:cs="Times New Roman"/>
          <w:color w:val="000000"/>
          <w:sz w:val="24"/>
          <w:szCs w:val="24"/>
          <w:lang w:bidi="hi-IN"/>
        </w:rPr>
        <w:t xml:space="preserve"> </w:t>
      </w:r>
      <w:r w:rsidRPr="00AC72DE">
        <w:rPr>
          <w:i/>
          <w:iCs/>
          <w:color w:val="000000"/>
          <w:lang w:bidi="hi-IN"/>
        </w:rPr>
        <w:t>Ambidextrous organizations: Managing evolutionary and revolutionary change</w:t>
      </w:r>
      <w:r w:rsidRPr="00AC72DE">
        <w:rPr>
          <w:rFonts w:ascii="Times New Roman" w:hAnsi="Times New Roman" w:cs="Times New Roman"/>
          <w:color w:val="000000"/>
          <w:sz w:val="24"/>
          <w:szCs w:val="24"/>
          <w:lang w:bidi="hi-IN"/>
        </w:rPr>
        <w:t xml:space="preserve">. California Management Review, 38(4), 8–30. </w:t>
      </w:r>
      <w:hyperlink r:id="rId56" w:history="1">
        <w:r w:rsidRPr="00AC72DE">
          <w:rPr>
            <w:color w:val="000000"/>
            <w:lang w:bidi="hi-IN"/>
          </w:rPr>
          <w:t>https://doi.org/10.2307/41165852</w:t>
        </w:r>
      </w:hyperlink>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r w:rsidRPr="00AC72DE">
        <w:rPr>
          <w:rFonts w:ascii="Times New Roman" w:hAnsi="Times New Roman" w:cs="Times New Roman"/>
          <w:color w:val="000000"/>
          <w:sz w:val="24"/>
          <w:szCs w:val="24"/>
          <w:lang w:bidi="hi-IN"/>
        </w:rPr>
        <w:t>Verhoef</w:t>
      </w:r>
      <w:proofErr w:type="spellEnd"/>
      <w:r w:rsidRPr="00AC72DE">
        <w:rPr>
          <w:rFonts w:ascii="Times New Roman" w:hAnsi="Times New Roman" w:cs="Times New Roman"/>
          <w:color w:val="000000"/>
          <w:sz w:val="24"/>
          <w:szCs w:val="24"/>
          <w:lang w:bidi="hi-IN"/>
        </w:rPr>
        <w:t xml:space="preserve">, Peter C., </w:t>
      </w:r>
      <w:proofErr w:type="spellStart"/>
      <w:r w:rsidRPr="00AC72DE">
        <w:rPr>
          <w:rFonts w:ascii="Times New Roman" w:hAnsi="Times New Roman" w:cs="Times New Roman"/>
          <w:color w:val="000000"/>
          <w:sz w:val="24"/>
          <w:szCs w:val="24"/>
          <w:lang w:bidi="hi-IN"/>
        </w:rPr>
        <w:t>Thijs</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Broekhuizen</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Yakov</w:t>
      </w:r>
      <w:proofErr w:type="spellEnd"/>
      <w:r w:rsidRPr="00AC72DE">
        <w:rPr>
          <w:rFonts w:ascii="Times New Roman" w:hAnsi="Times New Roman" w:cs="Times New Roman"/>
          <w:color w:val="000000"/>
          <w:sz w:val="24"/>
          <w:szCs w:val="24"/>
          <w:lang w:bidi="hi-IN"/>
        </w:rPr>
        <w:t xml:space="preserve"> Bart, </w:t>
      </w:r>
      <w:proofErr w:type="spellStart"/>
      <w:r w:rsidRPr="00AC72DE">
        <w:rPr>
          <w:rFonts w:ascii="Times New Roman" w:hAnsi="Times New Roman" w:cs="Times New Roman"/>
          <w:color w:val="000000"/>
          <w:sz w:val="24"/>
          <w:szCs w:val="24"/>
          <w:lang w:bidi="hi-IN"/>
        </w:rPr>
        <w:t>Abhi</w:t>
      </w:r>
      <w:proofErr w:type="spellEnd"/>
      <w:r w:rsidRPr="00AC72DE">
        <w:rPr>
          <w:rFonts w:ascii="Times New Roman" w:hAnsi="Times New Roman" w:cs="Times New Roman"/>
          <w:color w:val="000000"/>
          <w:sz w:val="24"/>
          <w:szCs w:val="24"/>
          <w:lang w:bidi="hi-IN"/>
        </w:rPr>
        <w:t xml:space="preserve"> Bhattacharya, John Qi Dong, Nicolai </w:t>
      </w:r>
      <w:proofErr w:type="spellStart"/>
      <w:r w:rsidRPr="00AC72DE">
        <w:rPr>
          <w:rFonts w:ascii="Times New Roman" w:hAnsi="Times New Roman" w:cs="Times New Roman"/>
          <w:color w:val="000000"/>
          <w:sz w:val="24"/>
          <w:szCs w:val="24"/>
          <w:lang w:bidi="hi-IN"/>
        </w:rPr>
        <w:t>Fabian</w:t>
      </w:r>
      <w:proofErr w:type="spellEnd"/>
      <w:r w:rsidRPr="00AC72DE">
        <w:rPr>
          <w:rFonts w:ascii="Times New Roman" w:hAnsi="Times New Roman" w:cs="Times New Roman"/>
          <w:color w:val="000000"/>
          <w:sz w:val="24"/>
          <w:szCs w:val="24"/>
          <w:lang w:bidi="hi-IN"/>
        </w:rPr>
        <w:t xml:space="preserve">, and Michael </w:t>
      </w:r>
      <w:proofErr w:type="spellStart"/>
      <w:r w:rsidRPr="00AC72DE">
        <w:rPr>
          <w:rFonts w:ascii="Times New Roman" w:hAnsi="Times New Roman" w:cs="Times New Roman"/>
          <w:color w:val="000000"/>
          <w:sz w:val="24"/>
          <w:szCs w:val="24"/>
          <w:lang w:bidi="hi-IN"/>
        </w:rPr>
        <w:t>Haenlein</w:t>
      </w:r>
      <w:proofErr w:type="spellEnd"/>
      <w:r w:rsidRPr="00AC72DE">
        <w:rPr>
          <w:rFonts w:ascii="Times New Roman" w:hAnsi="Times New Roman" w:cs="Times New Roman"/>
          <w:color w:val="000000"/>
          <w:sz w:val="24"/>
          <w:szCs w:val="24"/>
          <w:lang w:bidi="hi-IN"/>
        </w:rPr>
        <w:t xml:space="preserve">. “Digital Transformation: A Multidisciplinary Reflection and Research Agenda.” Journal of Business Research 122 (January 2021): 889–901. </w:t>
      </w:r>
      <w:hyperlink r:id="rId57" w:history="1">
        <w:r w:rsidRPr="00AC72DE">
          <w:rPr>
            <w:rFonts w:ascii="Times New Roman" w:hAnsi="Times New Roman" w:cs="Times New Roman"/>
            <w:color w:val="000000"/>
            <w:sz w:val="24"/>
            <w:szCs w:val="24"/>
            <w:lang w:bidi="hi-IN"/>
          </w:rPr>
          <w:t>https://doi.org/10.1016/j.jbusres.2019.09.022</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lastRenderedPageBreak/>
        <w:t>Vial, G. (2021).</w:t>
      </w:r>
      <w:proofErr w:type="gramEnd"/>
      <w:r w:rsidRPr="00AC72DE">
        <w:rPr>
          <w:rFonts w:ascii="Times New Roman" w:hAnsi="Times New Roman" w:cs="Times New Roman"/>
          <w:color w:val="000000"/>
          <w:sz w:val="24"/>
          <w:szCs w:val="24"/>
          <w:lang w:bidi="hi-IN"/>
        </w:rPr>
        <w:t xml:space="preserve"> Understanding digital transformation: A review and a research agenda. </w:t>
      </w:r>
      <w:proofErr w:type="gramStart"/>
      <w:r w:rsidRPr="00AC72DE">
        <w:rPr>
          <w:rFonts w:ascii="Times New Roman" w:hAnsi="Times New Roman" w:cs="Times New Roman"/>
          <w:color w:val="000000"/>
          <w:sz w:val="24"/>
          <w:szCs w:val="24"/>
          <w:lang w:bidi="hi-IN"/>
        </w:rPr>
        <w:t>Managing digital transformation, 13-66.</w:t>
      </w:r>
      <w:proofErr w:type="gramEnd"/>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Wade, M., &amp; </w:t>
      </w:r>
      <w:proofErr w:type="spellStart"/>
      <w:r w:rsidRPr="00AC72DE">
        <w:rPr>
          <w:rFonts w:ascii="Times New Roman" w:hAnsi="Times New Roman" w:cs="Times New Roman"/>
          <w:color w:val="000000"/>
          <w:sz w:val="24"/>
          <w:szCs w:val="24"/>
          <w:lang w:bidi="hi-IN"/>
        </w:rPr>
        <w:t>Hulland</w:t>
      </w:r>
      <w:proofErr w:type="spellEnd"/>
      <w:r w:rsidRPr="00AC72DE">
        <w:rPr>
          <w:rFonts w:ascii="Times New Roman" w:hAnsi="Times New Roman" w:cs="Times New Roman"/>
          <w:color w:val="000000"/>
          <w:sz w:val="24"/>
          <w:szCs w:val="24"/>
          <w:lang w:bidi="hi-IN"/>
        </w:rPr>
        <w:t>, J. (2004).</w:t>
      </w:r>
      <w:proofErr w:type="gramEnd"/>
      <w:r w:rsidRPr="00AC72DE">
        <w:rPr>
          <w:rFonts w:ascii="Times New Roman" w:hAnsi="Times New Roman" w:cs="Times New Roman"/>
          <w:color w:val="000000"/>
          <w:sz w:val="24"/>
          <w:szCs w:val="24"/>
          <w:lang w:bidi="hi-IN"/>
        </w:rPr>
        <w:t xml:space="preserve"> The resource-based view and information systems research: Review, extension, and suggestions for future research. MIS Quarterly, 28(1), 107–142.</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Wamba</w:t>
      </w:r>
      <w:proofErr w:type="spellEnd"/>
      <w:r w:rsidRPr="00AC72DE">
        <w:rPr>
          <w:rFonts w:ascii="Times New Roman" w:hAnsi="Times New Roman" w:cs="Times New Roman"/>
          <w:color w:val="000000"/>
          <w:sz w:val="24"/>
          <w:szCs w:val="24"/>
          <w:lang w:bidi="hi-IN"/>
        </w:rPr>
        <w:t xml:space="preserve">, S. F., </w:t>
      </w:r>
      <w:proofErr w:type="spellStart"/>
      <w:r w:rsidRPr="00AC72DE">
        <w:rPr>
          <w:rFonts w:ascii="Times New Roman" w:hAnsi="Times New Roman" w:cs="Times New Roman"/>
          <w:color w:val="000000"/>
          <w:sz w:val="24"/>
          <w:szCs w:val="24"/>
          <w:lang w:bidi="hi-IN"/>
        </w:rPr>
        <w:t>Gunasekaran</w:t>
      </w:r>
      <w:proofErr w:type="spellEnd"/>
      <w:r w:rsidRPr="00AC72DE">
        <w:rPr>
          <w:rFonts w:ascii="Times New Roman" w:hAnsi="Times New Roman" w:cs="Times New Roman"/>
          <w:color w:val="000000"/>
          <w:sz w:val="24"/>
          <w:szCs w:val="24"/>
          <w:lang w:bidi="hi-IN"/>
        </w:rPr>
        <w:t xml:space="preserve">, A., </w:t>
      </w:r>
      <w:proofErr w:type="spellStart"/>
      <w:r w:rsidRPr="00AC72DE">
        <w:rPr>
          <w:rFonts w:ascii="Times New Roman" w:hAnsi="Times New Roman" w:cs="Times New Roman"/>
          <w:color w:val="000000"/>
          <w:sz w:val="24"/>
          <w:szCs w:val="24"/>
          <w:lang w:bidi="hi-IN"/>
        </w:rPr>
        <w:t>Akter</w:t>
      </w:r>
      <w:proofErr w:type="spellEnd"/>
      <w:r w:rsidRPr="00AC72DE">
        <w:rPr>
          <w:rFonts w:ascii="Times New Roman" w:hAnsi="Times New Roman" w:cs="Times New Roman"/>
          <w:color w:val="000000"/>
          <w:sz w:val="24"/>
          <w:szCs w:val="24"/>
          <w:lang w:bidi="hi-IN"/>
        </w:rPr>
        <w:t xml:space="preserve">, S., </w:t>
      </w:r>
      <w:proofErr w:type="spellStart"/>
      <w:r w:rsidRPr="00AC72DE">
        <w:rPr>
          <w:rFonts w:ascii="Times New Roman" w:hAnsi="Times New Roman" w:cs="Times New Roman"/>
          <w:color w:val="000000"/>
          <w:sz w:val="24"/>
          <w:szCs w:val="24"/>
          <w:lang w:bidi="hi-IN"/>
        </w:rPr>
        <w:t>Ren</w:t>
      </w:r>
      <w:proofErr w:type="spellEnd"/>
      <w:r w:rsidRPr="00AC72DE">
        <w:rPr>
          <w:rFonts w:ascii="Times New Roman" w:hAnsi="Times New Roman" w:cs="Times New Roman"/>
          <w:color w:val="000000"/>
          <w:sz w:val="24"/>
          <w:szCs w:val="24"/>
          <w:lang w:bidi="hi-IN"/>
        </w:rPr>
        <w:t xml:space="preserve">, S. J. F., </w:t>
      </w:r>
      <w:proofErr w:type="spellStart"/>
      <w:r w:rsidRPr="00AC72DE">
        <w:rPr>
          <w:rFonts w:ascii="Times New Roman" w:hAnsi="Times New Roman" w:cs="Times New Roman"/>
          <w:color w:val="000000"/>
          <w:sz w:val="24"/>
          <w:szCs w:val="24"/>
          <w:lang w:bidi="hi-IN"/>
        </w:rPr>
        <w:t>Dubey</w:t>
      </w:r>
      <w:proofErr w:type="spellEnd"/>
      <w:r w:rsidRPr="00AC72DE">
        <w:rPr>
          <w:rFonts w:ascii="Times New Roman" w:hAnsi="Times New Roman" w:cs="Times New Roman"/>
          <w:color w:val="000000"/>
          <w:sz w:val="24"/>
          <w:szCs w:val="24"/>
          <w:lang w:bidi="hi-IN"/>
        </w:rPr>
        <w:t>, R., &amp; Childe, S. J. (2017).</w:t>
      </w:r>
      <w:proofErr w:type="gramEnd"/>
      <w:r w:rsidRPr="00AC72DE">
        <w:rPr>
          <w:rFonts w:ascii="Times New Roman" w:hAnsi="Times New Roman" w:cs="Times New Roman"/>
          <w:color w:val="000000"/>
          <w:sz w:val="24"/>
          <w:szCs w:val="24"/>
          <w:lang w:bidi="hi-IN"/>
        </w:rPr>
        <w:t xml:space="preserve"> Big data analytics and firm performance: Effects of dynamic capabilities. Journal of business research, 70, </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Warner, Karl S.R., and Maximilian Wäger.</w:t>
      </w:r>
      <w:proofErr w:type="gramEnd"/>
      <w:r w:rsidRPr="00AC72DE">
        <w:rPr>
          <w:rFonts w:ascii="Times New Roman" w:hAnsi="Times New Roman" w:cs="Times New Roman"/>
          <w:color w:val="000000"/>
          <w:sz w:val="24"/>
          <w:szCs w:val="24"/>
          <w:lang w:bidi="hi-IN"/>
        </w:rPr>
        <w:t xml:space="preserve"> “Building Dynamic Capabilities for Digital Transformation: An </w:t>
      </w:r>
      <w:proofErr w:type="spellStart"/>
      <w:r w:rsidRPr="00AC72DE">
        <w:rPr>
          <w:rFonts w:ascii="Times New Roman" w:hAnsi="Times New Roman" w:cs="Times New Roman"/>
          <w:color w:val="000000"/>
          <w:sz w:val="24"/>
          <w:szCs w:val="24"/>
          <w:lang w:bidi="hi-IN"/>
        </w:rPr>
        <w:t>Ongoing</w:t>
      </w:r>
      <w:proofErr w:type="spellEnd"/>
      <w:r w:rsidRPr="00AC72DE">
        <w:rPr>
          <w:rFonts w:ascii="Times New Roman" w:hAnsi="Times New Roman" w:cs="Times New Roman"/>
          <w:color w:val="000000"/>
          <w:sz w:val="24"/>
          <w:szCs w:val="24"/>
          <w:lang w:bidi="hi-IN"/>
        </w:rPr>
        <w:t xml:space="preserve"> Process of Strategic Renewal.” Long Range Planning 52, no. 3 (June 2019): 326–49. </w:t>
      </w:r>
      <w:hyperlink r:id="rId58" w:history="1">
        <w:r w:rsidRPr="00AC72DE">
          <w:rPr>
            <w:rFonts w:ascii="Times New Roman" w:hAnsi="Times New Roman" w:cs="Times New Roman"/>
            <w:color w:val="000000"/>
            <w:sz w:val="24"/>
            <w:szCs w:val="24"/>
            <w:lang w:bidi="hi-IN"/>
          </w:rPr>
          <w:t>https://doi.org/10.1016/j.lrp.2018.12.001</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spellStart"/>
      <w:proofErr w:type="gramStart"/>
      <w:r w:rsidRPr="00AC72DE">
        <w:rPr>
          <w:rFonts w:ascii="Times New Roman" w:hAnsi="Times New Roman" w:cs="Times New Roman"/>
          <w:color w:val="000000"/>
          <w:sz w:val="24"/>
          <w:szCs w:val="24"/>
          <w:lang w:bidi="hi-IN"/>
        </w:rPr>
        <w:t>Wielgos</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Dominik</w:t>
      </w:r>
      <w:proofErr w:type="spellEnd"/>
      <w:r w:rsidRPr="00AC72DE">
        <w:rPr>
          <w:rFonts w:ascii="Times New Roman" w:hAnsi="Times New Roman" w:cs="Times New Roman"/>
          <w:color w:val="000000"/>
          <w:sz w:val="24"/>
          <w:szCs w:val="24"/>
          <w:lang w:bidi="hi-IN"/>
        </w:rPr>
        <w:t xml:space="preserve"> M., Christian Homburg, and Christina </w:t>
      </w:r>
      <w:proofErr w:type="spellStart"/>
      <w:r w:rsidRPr="00AC72DE">
        <w:rPr>
          <w:rFonts w:ascii="Times New Roman" w:hAnsi="Times New Roman" w:cs="Times New Roman"/>
          <w:color w:val="000000"/>
          <w:sz w:val="24"/>
          <w:szCs w:val="24"/>
          <w:lang w:bidi="hi-IN"/>
        </w:rPr>
        <w:t>Kuehnl</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“Digital Business Capability: </w:t>
      </w:r>
      <w:proofErr w:type="gramStart"/>
      <w:r w:rsidRPr="00AC72DE">
        <w:rPr>
          <w:rFonts w:ascii="Times New Roman" w:hAnsi="Times New Roman" w:cs="Times New Roman"/>
          <w:color w:val="000000"/>
          <w:sz w:val="24"/>
          <w:szCs w:val="24"/>
          <w:lang w:bidi="hi-IN"/>
        </w:rPr>
        <w:t>Its</w:t>
      </w:r>
      <w:proofErr w:type="gramEnd"/>
      <w:r w:rsidRPr="00AC72DE">
        <w:rPr>
          <w:rFonts w:ascii="Times New Roman" w:hAnsi="Times New Roman" w:cs="Times New Roman"/>
          <w:color w:val="000000"/>
          <w:sz w:val="24"/>
          <w:szCs w:val="24"/>
          <w:lang w:bidi="hi-IN"/>
        </w:rPr>
        <w:t xml:space="preserve"> Impact on Firm and Customer Performance.” Journal of the Academy of Marketing Science 49, no. 4 (July 2021): 762–89. </w:t>
      </w:r>
      <w:hyperlink r:id="rId59" w:history="1">
        <w:r w:rsidRPr="00AC72DE">
          <w:rPr>
            <w:rFonts w:ascii="Times New Roman" w:hAnsi="Times New Roman" w:cs="Times New Roman"/>
            <w:color w:val="000000"/>
            <w:sz w:val="24"/>
            <w:szCs w:val="24"/>
            <w:lang w:bidi="hi-IN"/>
          </w:rPr>
          <w:t>https://doi.org/10.1007/s11747-021-00771-5</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Williams, Trenton A., Daniel A. Gruber, Kathleen M. Sutcliffe, Dean A. Shepherd, and Eric </w:t>
      </w:r>
      <w:proofErr w:type="spellStart"/>
      <w:r w:rsidRPr="00AC72DE">
        <w:rPr>
          <w:rFonts w:ascii="Times New Roman" w:hAnsi="Times New Roman" w:cs="Times New Roman"/>
          <w:color w:val="000000"/>
          <w:sz w:val="24"/>
          <w:szCs w:val="24"/>
          <w:lang w:bidi="hi-IN"/>
        </w:rPr>
        <w:t>Yanfei</w:t>
      </w:r>
      <w:proofErr w:type="spellEnd"/>
      <w:r w:rsidRPr="00AC72DE">
        <w:rPr>
          <w:rFonts w:ascii="Times New Roman" w:hAnsi="Times New Roman" w:cs="Times New Roman"/>
          <w:color w:val="000000"/>
          <w:sz w:val="24"/>
          <w:szCs w:val="24"/>
          <w:lang w:bidi="hi-IN"/>
        </w:rPr>
        <w:t xml:space="preserve"> Zhao.</w:t>
      </w:r>
      <w:proofErr w:type="gramEnd"/>
      <w:r w:rsidRPr="00AC72DE">
        <w:rPr>
          <w:rFonts w:ascii="Times New Roman" w:hAnsi="Times New Roman" w:cs="Times New Roman"/>
          <w:color w:val="000000"/>
          <w:sz w:val="24"/>
          <w:szCs w:val="24"/>
          <w:lang w:bidi="hi-IN"/>
        </w:rPr>
        <w:t xml:space="preserve"> “Organizational Response to Adversity: Fusing Crisis Management and Resilience Research Streams.” Academy of Management Annals 11, no. 2 (June 2017): 733–69. </w:t>
      </w:r>
      <w:hyperlink r:id="rId60" w:history="1">
        <w:r w:rsidRPr="00AC72DE">
          <w:rPr>
            <w:rFonts w:ascii="Times New Roman" w:hAnsi="Times New Roman" w:cs="Times New Roman"/>
            <w:color w:val="000000"/>
            <w:sz w:val="24"/>
            <w:szCs w:val="24"/>
            <w:lang w:bidi="hi-IN"/>
          </w:rPr>
          <w:t>https://doi.org/10.5465/annals.2015.0134</w:t>
        </w:r>
      </w:hyperlink>
      <w:r w:rsidRPr="00AC72DE">
        <w:rPr>
          <w:rFonts w:ascii="Times New Roman" w:hAnsi="Times New Roman" w:cs="Times New Roman"/>
          <w:color w:val="000000"/>
          <w:sz w:val="24"/>
          <w:szCs w:val="24"/>
          <w:lang w:bidi="hi-IN"/>
        </w:rPr>
        <w:t>.</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181F55"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181F55">
        <w:rPr>
          <w:rFonts w:ascii="Times New Roman" w:hAnsi="Times New Roman" w:cs="Times New Roman"/>
          <w:color w:val="000000"/>
          <w:sz w:val="24"/>
          <w:szCs w:val="24"/>
          <w:lang w:bidi="hi-IN"/>
        </w:rPr>
        <w:t xml:space="preserve">Yin, </w:t>
      </w:r>
      <w:proofErr w:type="spellStart"/>
      <w:r w:rsidRPr="00181F55">
        <w:rPr>
          <w:rFonts w:ascii="Times New Roman" w:hAnsi="Times New Roman" w:cs="Times New Roman"/>
          <w:color w:val="000000"/>
          <w:sz w:val="24"/>
          <w:szCs w:val="24"/>
          <w:lang w:bidi="hi-IN"/>
        </w:rPr>
        <w:t>Weili</w:t>
      </w:r>
      <w:proofErr w:type="spellEnd"/>
      <w:r w:rsidRPr="00181F55">
        <w:rPr>
          <w:rFonts w:ascii="Times New Roman" w:hAnsi="Times New Roman" w:cs="Times New Roman"/>
          <w:color w:val="000000"/>
          <w:sz w:val="24"/>
          <w:szCs w:val="24"/>
          <w:lang w:bidi="hi-IN"/>
        </w:rPr>
        <w:t xml:space="preserve">, and </w:t>
      </w:r>
      <w:proofErr w:type="spellStart"/>
      <w:r w:rsidRPr="00181F55">
        <w:rPr>
          <w:rFonts w:ascii="Times New Roman" w:hAnsi="Times New Roman" w:cs="Times New Roman"/>
          <w:color w:val="000000"/>
          <w:sz w:val="24"/>
          <w:szCs w:val="24"/>
          <w:lang w:bidi="hi-IN"/>
        </w:rPr>
        <w:t>Wenxue</w:t>
      </w:r>
      <w:proofErr w:type="spellEnd"/>
      <w:r w:rsidRPr="00181F55">
        <w:rPr>
          <w:rFonts w:ascii="Times New Roman" w:hAnsi="Times New Roman" w:cs="Times New Roman"/>
          <w:color w:val="000000"/>
          <w:sz w:val="24"/>
          <w:szCs w:val="24"/>
          <w:lang w:bidi="hi-IN"/>
        </w:rPr>
        <w:t xml:space="preserve"> Ran.</w:t>
      </w:r>
      <w:proofErr w:type="gramEnd"/>
      <w:r w:rsidRPr="00181F55">
        <w:rPr>
          <w:rFonts w:ascii="Times New Roman" w:hAnsi="Times New Roman" w:cs="Times New Roman"/>
          <w:color w:val="000000"/>
          <w:sz w:val="24"/>
          <w:szCs w:val="24"/>
          <w:lang w:bidi="hi-IN"/>
        </w:rPr>
        <w:t xml:space="preserve"> “Supply Chain Diversification, Digital Transformation, and Supply Chain Resilience: Configuration Analysis Based on </w:t>
      </w:r>
      <w:proofErr w:type="spellStart"/>
      <w:r w:rsidRPr="00181F55">
        <w:rPr>
          <w:rFonts w:ascii="Times New Roman" w:hAnsi="Times New Roman" w:cs="Times New Roman"/>
          <w:color w:val="000000"/>
          <w:sz w:val="24"/>
          <w:szCs w:val="24"/>
          <w:lang w:bidi="hi-IN"/>
        </w:rPr>
        <w:t>fsQCA</w:t>
      </w:r>
      <w:proofErr w:type="spellEnd"/>
      <w:r w:rsidRPr="00181F55">
        <w:rPr>
          <w:rFonts w:ascii="Times New Roman" w:hAnsi="Times New Roman" w:cs="Times New Roman"/>
          <w:color w:val="000000"/>
          <w:sz w:val="24"/>
          <w:szCs w:val="24"/>
          <w:lang w:bidi="hi-IN"/>
        </w:rPr>
        <w:t xml:space="preserve">.” Sustainability 14, no. 13 (June 23, 2022): 7690. </w:t>
      </w:r>
      <w:hyperlink r:id="rId61" w:history="1">
        <w:r w:rsidRPr="00AC72DE">
          <w:rPr>
            <w:rFonts w:ascii="Times New Roman" w:hAnsi="Times New Roman" w:cs="Times New Roman"/>
            <w:color w:val="000000"/>
            <w:sz w:val="24"/>
            <w:szCs w:val="24"/>
            <w:lang w:bidi="hi-IN"/>
          </w:rPr>
          <w:t>https://doi.org/10.3390/su14137690</w:t>
        </w:r>
      </w:hyperlink>
      <w:r w:rsidRPr="00181F55">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r w:rsidRPr="00AC72DE">
        <w:rPr>
          <w:rFonts w:ascii="Times New Roman" w:hAnsi="Times New Roman" w:cs="Times New Roman"/>
          <w:color w:val="000000"/>
          <w:sz w:val="24"/>
          <w:szCs w:val="24"/>
          <w:lang w:bidi="hi-IN"/>
        </w:rPr>
        <w:t>Yu, W., Jacobs, M.A., Chavez, R. and Yang, J. (2019),</w:t>
      </w:r>
      <w:r>
        <w:rPr>
          <w:rFonts w:ascii="Times New Roman" w:hAnsi="Times New Roman" w:cs="Times New Roman"/>
          <w:color w:val="000000"/>
          <w:sz w:val="24"/>
          <w:szCs w:val="24"/>
          <w:lang w:bidi="hi-IN"/>
        </w:rPr>
        <w:t xml:space="preserve"> </w:t>
      </w:r>
      <w:r w:rsidRPr="00AC72DE">
        <w:rPr>
          <w:rFonts w:ascii="Times New Roman" w:hAnsi="Times New Roman" w:cs="Times New Roman"/>
          <w:color w:val="000000"/>
          <w:sz w:val="24"/>
          <w:szCs w:val="24"/>
          <w:lang w:bidi="hi-IN"/>
        </w:rPr>
        <w:t>“Dynamism, disruption ori</w:t>
      </w:r>
      <w:r>
        <w:rPr>
          <w:rFonts w:ascii="Times New Roman" w:hAnsi="Times New Roman" w:cs="Times New Roman"/>
          <w:color w:val="000000"/>
          <w:sz w:val="24"/>
          <w:szCs w:val="24"/>
          <w:lang w:bidi="hi-IN"/>
        </w:rPr>
        <w:t xml:space="preserve">entation, and resilience in the </w:t>
      </w:r>
      <w:r w:rsidRPr="00AC72DE">
        <w:rPr>
          <w:rFonts w:ascii="Times New Roman" w:hAnsi="Times New Roman" w:cs="Times New Roman"/>
          <w:color w:val="000000"/>
          <w:sz w:val="24"/>
          <w:szCs w:val="24"/>
          <w:lang w:bidi="hi-IN"/>
        </w:rPr>
        <w:t>supply chain and the impacts on fi</w:t>
      </w:r>
      <w:r>
        <w:rPr>
          <w:rFonts w:ascii="Times New Roman" w:hAnsi="Times New Roman" w:cs="Times New Roman"/>
          <w:color w:val="000000"/>
          <w:sz w:val="24"/>
          <w:szCs w:val="24"/>
          <w:lang w:bidi="hi-IN"/>
        </w:rPr>
        <w:t xml:space="preserve">nancial performance: a </w:t>
      </w:r>
      <w:r w:rsidRPr="00AC72DE">
        <w:rPr>
          <w:rFonts w:ascii="Times New Roman" w:hAnsi="Times New Roman" w:cs="Times New Roman"/>
          <w:color w:val="000000"/>
          <w:sz w:val="24"/>
          <w:szCs w:val="24"/>
          <w:lang w:bidi="hi-IN"/>
        </w:rPr>
        <w:t xml:space="preserve">dynamic capabilities perspective”, </w:t>
      </w:r>
      <w:r>
        <w:rPr>
          <w:rFonts w:ascii="Times New Roman" w:hAnsi="Times New Roman" w:cs="Times New Roman"/>
          <w:color w:val="000000"/>
          <w:sz w:val="24"/>
          <w:szCs w:val="24"/>
          <w:lang w:bidi="hi-IN"/>
        </w:rPr>
        <w:t xml:space="preserve">International Journal of </w:t>
      </w:r>
      <w:r w:rsidRPr="00AC72DE">
        <w:rPr>
          <w:rFonts w:ascii="Times New Roman" w:hAnsi="Times New Roman" w:cs="Times New Roman"/>
          <w:color w:val="000000"/>
          <w:sz w:val="24"/>
          <w:szCs w:val="24"/>
          <w:lang w:bidi="hi-IN"/>
        </w:rPr>
        <w:t>Production Economics, Elsevier, Vol. 218, pp. 352-362.</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Yusuf, Y. Y., Musa, A., </w:t>
      </w:r>
      <w:proofErr w:type="spellStart"/>
      <w:r w:rsidRPr="00AC72DE">
        <w:rPr>
          <w:rFonts w:ascii="Times New Roman" w:hAnsi="Times New Roman" w:cs="Times New Roman"/>
          <w:color w:val="000000"/>
          <w:sz w:val="24"/>
          <w:szCs w:val="24"/>
          <w:lang w:bidi="hi-IN"/>
        </w:rPr>
        <w:t>Dauda</w:t>
      </w:r>
      <w:proofErr w:type="spellEnd"/>
      <w:r w:rsidRPr="00AC72DE">
        <w:rPr>
          <w:rFonts w:ascii="Times New Roman" w:hAnsi="Times New Roman" w:cs="Times New Roman"/>
          <w:color w:val="000000"/>
          <w:sz w:val="24"/>
          <w:szCs w:val="24"/>
          <w:lang w:bidi="hi-IN"/>
        </w:rPr>
        <w:t>, M., El-</w:t>
      </w:r>
      <w:proofErr w:type="spellStart"/>
      <w:r w:rsidRPr="00AC72DE">
        <w:rPr>
          <w:rFonts w:ascii="Times New Roman" w:hAnsi="Times New Roman" w:cs="Times New Roman"/>
          <w:color w:val="000000"/>
          <w:sz w:val="24"/>
          <w:szCs w:val="24"/>
          <w:lang w:bidi="hi-IN"/>
        </w:rPr>
        <w:t>Berishy</w:t>
      </w:r>
      <w:proofErr w:type="spellEnd"/>
      <w:r w:rsidRPr="00AC72DE">
        <w:rPr>
          <w:rFonts w:ascii="Times New Roman" w:hAnsi="Times New Roman" w:cs="Times New Roman"/>
          <w:color w:val="000000"/>
          <w:sz w:val="24"/>
          <w:szCs w:val="24"/>
          <w:lang w:bidi="hi-IN"/>
        </w:rPr>
        <w:t xml:space="preserve">, N., </w:t>
      </w:r>
      <w:proofErr w:type="spellStart"/>
      <w:r w:rsidRPr="00AC72DE">
        <w:rPr>
          <w:rFonts w:ascii="Times New Roman" w:hAnsi="Times New Roman" w:cs="Times New Roman"/>
          <w:color w:val="000000"/>
          <w:sz w:val="24"/>
          <w:szCs w:val="24"/>
          <w:lang w:bidi="hi-IN"/>
        </w:rPr>
        <w:t>Kovvuri</w:t>
      </w:r>
      <w:proofErr w:type="spellEnd"/>
      <w:r w:rsidRPr="00AC72DE">
        <w:rPr>
          <w:rFonts w:ascii="Times New Roman" w:hAnsi="Times New Roman" w:cs="Times New Roman"/>
          <w:color w:val="000000"/>
          <w:sz w:val="24"/>
          <w:szCs w:val="24"/>
          <w:lang w:bidi="hi-IN"/>
        </w:rPr>
        <w:t xml:space="preserve">, D., &amp; </w:t>
      </w:r>
      <w:proofErr w:type="spellStart"/>
      <w:r w:rsidRPr="00AC72DE">
        <w:rPr>
          <w:rFonts w:ascii="Times New Roman" w:hAnsi="Times New Roman" w:cs="Times New Roman"/>
          <w:color w:val="000000"/>
          <w:sz w:val="24"/>
          <w:szCs w:val="24"/>
          <w:lang w:bidi="hi-IN"/>
        </w:rPr>
        <w:t>Abubakar</w:t>
      </w:r>
      <w:proofErr w:type="spellEnd"/>
      <w:r w:rsidRPr="00AC72DE">
        <w:rPr>
          <w:rFonts w:ascii="Times New Roman" w:hAnsi="Times New Roman" w:cs="Times New Roman"/>
          <w:color w:val="000000"/>
          <w:sz w:val="24"/>
          <w:szCs w:val="24"/>
          <w:lang w:bidi="hi-IN"/>
        </w:rPr>
        <w:t>, T. (2014).</w:t>
      </w:r>
      <w:proofErr w:type="gramEnd"/>
      <w:r w:rsidRPr="00AC72DE">
        <w:rPr>
          <w:rFonts w:ascii="Times New Roman" w:hAnsi="Times New Roman" w:cs="Times New Roman"/>
          <w:color w:val="000000"/>
          <w:sz w:val="24"/>
          <w:szCs w:val="24"/>
          <w:lang w:bidi="hi-IN"/>
        </w:rPr>
        <w:t xml:space="preserve"> </w:t>
      </w:r>
      <w:proofErr w:type="gramStart"/>
      <w:r w:rsidRPr="00AC72DE">
        <w:rPr>
          <w:rFonts w:ascii="Times New Roman" w:hAnsi="Times New Roman" w:cs="Times New Roman"/>
          <w:color w:val="000000"/>
          <w:sz w:val="24"/>
          <w:szCs w:val="24"/>
          <w:lang w:bidi="hi-IN"/>
        </w:rPr>
        <w:t>A study of the diffusion of agility and cluster competitiveness in the oil and gas supply chains.</w:t>
      </w:r>
      <w:proofErr w:type="gramEnd"/>
      <w:r w:rsidRPr="00AC72DE">
        <w:rPr>
          <w:rFonts w:ascii="Times New Roman" w:hAnsi="Times New Roman" w:cs="Times New Roman"/>
          <w:color w:val="000000"/>
          <w:sz w:val="24"/>
          <w:szCs w:val="24"/>
          <w:lang w:bidi="hi-IN"/>
        </w:rPr>
        <w:t> International Journal of Production Economics, 147, 498-513.</w:t>
      </w:r>
    </w:p>
    <w:p w:rsidR="00D27CB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Zhang, Ying, Hong Chen, and </w:t>
      </w:r>
      <w:proofErr w:type="spellStart"/>
      <w:r w:rsidRPr="00AC72DE">
        <w:rPr>
          <w:rFonts w:ascii="Times New Roman" w:hAnsi="Times New Roman" w:cs="Times New Roman"/>
          <w:color w:val="000000"/>
          <w:sz w:val="24"/>
          <w:szCs w:val="24"/>
          <w:lang w:bidi="hi-IN"/>
        </w:rPr>
        <w:t>Keyi</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Ju</w:t>
      </w:r>
      <w:proofErr w:type="spellEnd"/>
      <w:r w:rsidRPr="00AC72DE">
        <w:rPr>
          <w:rFonts w:ascii="Times New Roman" w:hAnsi="Times New Roman" w:cs="Times New Roman"/>
          <w:color w:val="000000"/>
          <w:sz w:val="24"/>
          <w:szCs w:val="24"/>
          <w:lang w:bidi="hi-IN"/>
        </w:rPr>
        <w:t>.</w:t>
      </w:r>
      <w:proofErr w:type="gramEnd"/>
      <w:r w:rsidRPr="00AC72DE">
        <w:rPr>
          <w:rFonts w:ascii="Times New Roman" w:hAnsi="Times New Roman" w:cs="Times New Roman"/>
          <w:color w:val="000000"/>
          <w:sz w:val="24"/>
          <w:szCs w:val="24"/>
          <w:lang w:bidi="hi-IN"/>
        </w:rPr>
        <w:t xml:space="preserve"> “Research on Enterprise Digital Agility Based on Machine Learning: An Evaluation of Green Financial Technology.” Journal of Global Information Management 31, no. 9 (July 28, 2023): 1–13. </w:t>
      </w:r>
      <w:hyperlink r:id="rId62" w:history="1">
        <w:r w:rsidRPr="00AC72DE">
          <w:rPr>
            <w:rFonts w:ascii="Times New Roman" w:hAnsi="Times New Roman" w:cs="Times New Roman"/>
            <w:color w:val="000000"/>
            <w:sz w:val="24"/>
            <w:szCs w:val="24"/>
            <w:lang w:bidi="hi-IN"/>
          </w:rPr>
          <w:t>https://doi.org/10.4018/JGIM.327006</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Zhen, </w:t>
      </w:r>
      <w:proofErr w:type="spellStart"/>
      <w:r w:rsidRPr="00AC72DE">
        <w:rPr>
          <w:rFonts w:ascii="Times New Roman" w:hAnsi="Times New Roman" w:cs="Times New Roman"/>
          <w:color w:val="000000"/>
          <w:sz w:val="24"/>
          <w:szCs w:val="24"/>
          <w:lang w:bidi="hi-IN"/>
        </w:rPr>
        <w:t>Jie</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Zongxiao</w:t>
      </w:r>
      <w:proofErr w:type="spellEnd"/>
      <w:r w:rsidRPr="00AC72DE">
        <w:rPr>
          <w:rFonts w:ascii="Times New Roman" w:hAnsi="Times New Roman" w:cs="Times New Roman"/>
          <w:color w:val="000000"/>
          <w:sz w:val="24"/>
          <w:szCs w:val="24"/>
          <w:lang w:bidi="hi-IN"/>
        </w:rPr>
        <w:t xml:space="preserve"> </w:t>
      </w:r>
      <w:proofErr w:type="spellStart"/>
      <w:r w:rsidRPr="00AC72DE">
        <w:rPr>
          <w:rFonts w:ascii="Times New Roman" w:hAnsi="Times New Roman" w:cs="Times New Roman"/>
          <w:color w:val="000000"/>
          <w:sz w:val="24"/>
          <w:szCs w:val="24"/>
          <w:lang w:bidi="hi-IN"/>
        </w:rPr>
        <w:t>Xie</w:t>
      </w:r>
      <w:proofErr w:type="spellEnd"/>
      <w:r w:rsidRPr="00AC72DE">
        <w:rPr>
          <w:rFonts w:ascii="Times New Roman" w:hAnsi="Times New Roman" w:cs="Times New Roman"/>
          <w:color w:val="000000"/>
          <w:sz w:val="24"/>
          <w:szCs w:val="24"/>
          <w:lang w:bidi="hi-IN"/>
        </w:rPr>
        <w:t xml:space="preserve">, and </w:t>
      </w:r>
      <w:proofErr w:type="spellStart"/>
      <w:r w:rsidRPr="00AC72DE">
        <w:rPr>
          <w:rFonts w:ascii="Times New Roman" w:hAnsi="Times New Roman" w:cs="Times New Roman"/>
          <w:color w:val="000000"/>
          <w:sz w:val="24"/>
          <w:szCs w:val="24"/>
          <w:lang w:bidi="hi-IN"/>
        </w:rPr>
        <w:t>Kunxiang</w:t>
      </w:r>
      <w:proofErr w:type="spellEnd"/>
      <w:r w:rsidRPr="00AC72DE">
        <w:rPr>
          <w:rFonts w:ascii="Times New Roman" w:hAnsi="Times New Roman" w:cs="Times New Roman"/>
          <w:color w:val="000000"/>
          <w:sz w:val="24"/>
          <w:szCs w:val="24"/>
          <w:lang w:bidi="hi-IN"/>
        </w:rPr>
        <w:t xml:space="preserve"> Dong.</w:t>
      </w:r>
      <w:proofErr w:type="gramEnd"/>
      <w:r w:rsidRPr="00AC72DE">
        <w:rPr>
          <w:rFonts w:ascii="Times New Roman" w:hAnsi="Times New Roman" w:cs="Times New Roman"/>
          <w:color w:val="000000"/>
          <w:sz w:val="24"/>
          <w:szCs w:val="24"/>
          <w:lang w:bidi="hi-IN"/>
        </w:rPr>
        <w:t xml:space="preserve"> “Impact of </w:t>
      </w:r>
      <w:proofErr w:type="gramStart"/>
      <w:r w:rsidRPr="00AC72DE">
        <w:rPr>
          <w:rFonts w:ascii="Times New Roman" w:hAnsi="Times New Roman" w:cs="Times New Roman"/>
          <w:color w:val="000000"/>
          <w:sz w:val="24"/>
          <w:szCs w:val="24"/>
          <w:lang w:bidi="hi-IN"/>
        </w:rPr>
        <w:t>IT</w:t>
      </w:r>
      <w:proofErr w:type="gramEnd"/>
      <w:r w:rsidRPr="00AC72DE">
        <w:rPr>
          <w:rFonts w:ascii="Times New Roman" w:hAnsi="Times New Roman" w:cs="Times New Roman"/>
          <w:color w:val="000000"/>
          <w:sz w:val="24"/>
          <w:szCs w:val="24"/>
          <w:lang w:bidi="hi-IN"/>
        </w:rPr>
        <w:t xml:space="preserve"> Governance Mechanisms on Organizational Agility and the Role of Top Management Support and IT Ambidexterity.” International Journal of Accounting Information Systems 40 (March 2021): 100501. </w:t>
      </w:r>
      <w:hyperlink r:id="rId63" w:history="1">
        <w:r w:rsidRPr="00AC72DE">
          <w:rPr>
            <w:rFonts w:ascii="Times New Roman" w:hAnsi="Times New Roman" w:cs="Times New Roman"/>
            <w:color w:val="000000"/>
            <w:sz w:val="24"/>
            <w:szCs w:val="24"/>
            <w:lang w:bidi="hi-IN"/>
          </w:rPr>
          <w:t>https://doi.org/10.1016/j.accinf.2021.100501</w:t>
        </w:r>
      </w:hyperlink>
      <w:r w:rsidRPr="00AC72DE">
        <w:rPr>
          <w:rFonts w:ascii="Times New Roman" w:hAnsi="Times New Roman" w:cs="Times New Roman"/>
          <w:color w:val="000000"/>
          <w:sz w:val="24"/>
          <w:szCs w:val="24"/>
          <w:lang w:bidi="hi-IN"/>
        </w:rPr>
        <w:t>.</w:t>
      </w: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
    <w:p w:rsidR="00D27CBE" w:rsidRPr="00AC72DE" w:rsidRDefault="00D27CBE" w:rsidP="00266A9F">
      <w:pPr>
        <w:autoSpaceDE w:val="0"/>
        <w:autoSpaceDN w:val="0"/>
        <w:adjustRightInd w:val="0"/>
        <w:spacing w:after="0" w:line="240" w:lineRule="auto"/>
        <w:jc w:val="both"/>
        <w:rPr>
          <w:rFonts w:ascii="Times New Roman" w:hAnsi="Times New Roman" w:cs="Times New Roman"/>
          <w:color w:val="000000"/>
          <w:sz w:val="24"/>
          <w:szCs w:val="24"/>
          <w:lang w:bidi="hi-IN"/>
        </w:rPr>
      </w:pPr>
      <w:proofErr w:type="gramStart"/>
      <w:r w:rsidRPr="00AC72DE">
        <w:rPr>
          <w:rFonts w:ascii="Times New Roman" w:hAnsi="Times New Roman" w:cs="Times New Roman"/>
          <w:color w:val="000000"/>
          <w:sz w:val="24"/>
          <w:szCs w:val="24"/>
          <w:lang w:bidi="hi-IN"/>
        </w:rPr>
        <w:t xml:space="preserve">Zhou, Q., Wang, S., Ma, X., &amp; </w:t>
      </w:r>
      <w:proofErr w:type="spellStart"/>
      <w:r w:rsidRPr="00AC72DE">
        <w:rPr>
          <w:rFonts w:ascii="Times New Roman" w:hAnsi="Times New Roman" w:cs="Times New Roman"/>
          <w:color w:val="000000"/>
          <w:sz w:val="24"/>
          <w:szCs w:val="24"/>
          <w:lang w:bidi="hi-IN"/>
        </w:rPr>
        <w:t>Xu</w:t>
      </w:r>
      <w:proofErr w:type="spellEnd"/>
      <w:r w:rsidRPr="00AC72DE">
        <w:rPr>
          <w:rFonts w:ascii="Times New Roman" w:hAnsi="Times New Roman" w:cs="Times New Roman"/>
          <w:color w:val="000000"/>
          <w:sz w:val="24"/>
          <w:szCs w:val="24"/>
          <w:lang w:bidi="hi-IN"/>
        </w:rPr>
        <w:t>, W. (2024).</w:t>
      </w:r>
      <w:proofErr w:type="gramEnd"/>
      <w:r w:rsidRPr="00AC72DE">
        <w:rPr>
          <w:rFonts w:ascii="Times New Roman" w:hAnsi="Times New Roman" w:cs="Times New Roman"/>
          <w:color w:val="000000"/>
          <w:sz w:val="24"/>
          <w:szCs w:val="24"/>
          <w:lang w:bidi="hi-IN"/>
        </w:rPr>
        <w:t xml:space="preserve"> Digital technologies and corporate green innovation: opening the “black box” of resource orchestration mechanisms. Sustainability Accounting, Management and Policy Journal, 15(4), 884-912.</w:t>
      </w:r>
    </w:p>
    <w:p w:rsidR="00E118E4" w:rsidRDefault="00E118E4" w:rsidP="00E26366">
      <w:pPr>
        <w:spacing w:after="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Appendix</w:t>
      </w:r>
      <w:r w:rsidR="00A02EA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Questionnaire used in the survey</w:t>
      </w:r>
    </w:p>
    <w:p w:rsidR="00A02EA6" w:rsidRPr="00A02EA6" w:rsidRDefault="00A02EA6" w:rsidP="00E26366">
      <w:pPr>
        <w:spacing w:after="0" w:line="480" w:lineRule="auto"/>
        <w:jc w:val="both"/>
        <w:rPr>
          <w:rFonts w:ascii="Times New Roman" w:eastAsia="Times New Roman" w:hAnsi="Times New Roman" w:cs="Times New Roman"/>
          <w:b/>
          <w:sz w:val="12"/>
          <w:szCs w:val="12"/>
        </w:rPr>
      </w:pPr>
    </w:p>
    <w:tbl>
      <w:tblPr>
        <w:tblW w:w="901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95"/>
        <w:gridCol w:w="1821"/>
      </w:tblGrid>
      <w:tr w:rsidR="00E118E4" w:rsidTr="005E3B69">
        <w:tc>
          <w:tcPr>
            <w:tcW w:w="7195" w:type="dxa"/>
          </w:tcPr>
          <w:p w:rsidR="00E118E4" w:rsidRDefault="00E118E4"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Constructs</w:t>
            </w:r>
          </w:p>
        </w:tc>
        <w:tc>
          <w:tcPr>
            <w:tcW w:w="1821" w:type="dxa"/>
          </w:tcPr>
          <w:p w:rsidR="00E118E4" w:rsidRDefault="00E118E4"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w:t>
            </w:r>
          </w:p>
        </w:tc>
      </w:tr>
      <w:tr w:rsidR="00E118E4" w:rsidTr="005E3B69">
        <w:tc>
          <w:tcPr>
            <w:tcW w:w="7195" w:type="dxa"/>
          </w:tcPr>
          <w:p w:rsidR="00E118E4" w:rsidRDefault="00F45A6B" w:rsidP="00F45A6B">
            <w:pPr>
              <w:spacing w:after="0" w:line="240" w:lineRule="auto"/>
              <w:jc w:val="both"/>
              <w:rPr>
                <w:rFonts w:ascii="Times New Roman" w:eastAsia="Times New Roman" w:hAnsi="Times New Roman" w:cs="Times New Roman"/>
                <w:b/>
                <w:sz w:val="24"/>
                <w:szCs w:val="24"/>
              </w:rPr>
            </w:pPr>
            <w:r w:rsidRPr="00F45A6B">
              <w:rPr>
                <w:rFonts w:ascii="Times New Roman" w:eastAsia="Times New Roman" w:hAnsi="Times New Roman" w:cs="Times New Roman"/>
                <w:b/>
                <w:sz w:val="24"/>
                <w:szCs w:val="24"/>
              </w:rPr>
              <w:t xml:space="preserve">Environmental Dynamism </w:t>
            </w:r>
            <w:r w:rsidR="00E118E4">
              <w:rPr>
                <w:rFonts w:ascii="Times New Roman" w:eastAsia="Times New Roman" w:hAnsi="Times New Roman" w:cs="Times New Roman"/>
                <w:b/>
                <w:sz w:val="24"/>
                <w:szCs w:val="24"/>
              </w:rPr>
              <w:t>(</w:t>
            </w:r>
            <w:r w:rsidR="003C1E97">
              <w:rPr>
                <w:rFonts w:ascii="Times New Roman" w:eastAsia="Times New Roman" w:hAnsi="Times New Roman" w:cs="Times New Roman"/>
                <w:b/>
                <w:sz w:val="24"/>
                <w:szCs w:val="24"/>
              </w:rPr>
              <w:t>ENVD</w:t>
            </w:r>
            <w:r w:rsidR="00E118E4">
              <w:rPr>
                <w:rFonts w:ascii="Times New Roman" w:eastAsia="Times New Roman" w:hAnsi="Times New Roman" w:cs="Times New Roman"/>
                <w:b/>
                <w:sz w:val="24"/>
                <w:szCs w:val="24"/>
              </w:rPr>
              <w:t>)</w:t>
            </w:r>
          </w:p>
          <w:p w:rsidR="00A02EA6" w:rsidRDefault="00A02EA6" w:rsidP="00F45A6B">
            <w:pPr>
              <w:spacing w:after="0" w:line="240" w:lineRule="auto"/>
              <w:jc w:val="both"/>
              <w:rPr>
                <w:rFonts w:ascii="Times New Roman" w:eastAsia="Times New Roman" w:hAnsi="Times New Roman" w:cs="Times New Roman"/>
                <w:b/>
                <w:sz w:val="24"/>
                <w:szCs w:val="24"/>
              </w:rPr>
            </w:pPr>
          </w:p>
          <w:p w:rsidR="00E118E4" w:rsidRDefault="00E118E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our industry…</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ENVD</w:t>
            </w:r>
            <w:r w:rsidR="00E118E4">
              <w:rPr>
                <w:rFonts w:ascii="Times New Roman" w:eastAsia="Times New Roman" w:hAnsi="Times New Roman" w:cs="Times New Roman"/>
                <w:b/>
                <w:sz w:val="24"/>
                <w:szCs w:val="24"/>
              </w:rPr>
              <w:t>1.</w:t>
            </w:r>
            <w:r w:rsidR="00E118E4">
              <w:rPr>
                <w:rFonts w:ascii="Times New Roman" w:eastAsia="Times New Roman" w:hAnsi="Times New Roman" w:cs="Times New Roman"/>
                <w:sz w:val="24"/>
                <w:szCs w:val="24"/>
              </w:rPr>
              <w:t xml:space="preserve"> </w:t>
            </w:r>
            <w:proofErr w:type="gramStart"/>
            <w:r w:rsidR="00F45A6B" w:rsidRPr="00F93877">
              <w:rPr>
                <w:rFonts w:ascii="Times New Roman" w:eastAsia="Times New Roman" w:hAnsi="Times New Roman" w:cs="Times New Roman"/>
                <w:bCs/>
                <w:sz w:val="24"/>
                <w:szCs w:val="24"/>
              </w:rPr>
              <w:t>Growth opportunities in the industry environment has</w:t>
            </w:r>
            <w:proofErr w:type="gramEnd"/>
            <w:r w:rsidR="00F45A6B" w:rsidRPr="00F93877">
              <w:rPr>
                <w:rFonts w:ascii="Times New Roman" w:eastAsia="Times New Roman" w:hAnsi="Times New Roman" w:cs="Times New Roman"/>
                <w:bCs/>
                <w:sz w:val="24"/>
                <w:szCs w:val="24"/>
              </w:rPr>
              <w:t xml:space="preserve"> increased dramatically.</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ENVD</w:t>
            </w:r>
            <w:r w:rsidR="00E118E4">
              <w:rPr>
                <w:rFonts w:ascii="Times New Roman" w:eastAsia="Times New Roman" w:hAnsi="Times New Roman" w:cs="Times New Roman"/>
                <w:b/>
                <w:sz w:val="24"/>
                <w:szCs w:val="24"/>
              </w:rPr>
              <w:t>2.</w:t>
            </w:r>
            <w:r w:rsidR="00E118E4">
              <w:rPr>
                <w:rFonts w:ascii="Times New Roman" w:eastAsia="Times New Roman" w:hAnsi="Times New Roman" w:cs="Times New Roman"/>
                <w:sz w:val="24"/>
                <w:szCs w:val="24"/>
              </w:rPr>
              <w:t xml:space="preserve"> </w:t>
            </w:r>
            <w:r w:rsidR="00F45A6B" w:rsidRPr="00F93877">
              <w:rPr>
                <w:rFonts w:ascii="Times New Roman" w:eastAsia="Times New Roman" w:hAnsi="Times New Roman" w:cs="Times New Roman"/>
                <w:bCs/>
                <w:sz w:val="24"/>
                <w:szCs w:val="24"/>
              </w:rPr>
              <w:t>Production/service technology in our principal industry has changed very much.</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ENVD</w:t>
            </w:r>
            <w:r w:rsidR="00E118E4">
              <w:rPr>
                <w:rFonts w:ascii="Times New Roman" w:eastAsia="Times New Roman" w:hAnsi="Times New Roman" w:cs="Times New Roman"/>
                <w:b/>
                <w:sz w:val="24"/>
                <w:szCs w:val="24"/>
              </w:rPr>
              <w:t>3.</w:t>
            </w:r>
            <w:r w:rsidR="00E118E4">
              <w:rPr>
                <w:rFonts w:ascii="Times New Roman" w:eastAsia="Times New Roman" w:hAnsi="Times New Roman" w:cs="Times New Roman"/>
                <w:sz w:val="24"/>
                <w:szCs w:val="24"/>
              </w:rPr>
              <w:t xml:space="preserve"> </w:t>
            </w:r>
            <w:r w:rsidR="00F45A6B" w:rsidRPr="00F93877">
              <w:rPr>
                <w:rFonts w:ascii="Times New Roman" w:eastAsia="Times New Roman" w:hAnsi="Times New Roman" w:cs="Times New Roman"/>
                <w:bCs/>
                <w:sz w:val="24"/>
                <w:szCs w:val="24"/>
              </w:rPr>
              <w:t>Market activities of our key competitors now affect the firm in many more areas (pricing, marketing, delivery, service, production, quality)</w:t>
            </w:r>
          </w:p>
          <w:p w:rsidR="00E118E4" w:rsidRPr="00F45A6B" w:rsidRDefault="003C1E97" w:rsidP="00A02EA6">
            <w:pPr>
              <w:spacing w:after="0" w:line="240" w:lineRule="auto"/>
              <w:rPr>
                <w:rFonts w:ascii="Times New Roman" w:eastAsia="Times New Roman" w:hAnsi="Times New Roman" w:cs="Times New Roman"/>
                <w:b/>
                <w:strike/>
                <w:color w:val="FF0000"/>
                <w:sz w:val="24"/>
                <w:szCs w:val="24"/>
              </w:rPr>
            </w:pPr>
            <w:r>
              <w:rPr>
                <w:rFonts w:ascii="Times New Roman" w:eastAsia="Times New Roman" w:hAnsi="Times New Roman" w:cs="Times New Roman"/>
                <w:b/>
                <w:strike/>
                <w:color w:val="FF0000"/>
                <w:sz w:val="24"/>
                <w:szCs w:val="24"/>
              </w:rPr>
              <w:t>ENVD</w:t>
            </w:r>
            <w:r w:rsidR="00E118E4" w:rsidRPr="00E118E4">
              <w:rPr>
                <w:rFonts w:ascii="Times New Roman" w:eastAsia="Times New Roman" w:hAnsi="Times New Roman" w:cs="Times New Roman"/>
                <w:b/>
                <w:strike/>
                <w:color w:val="FF0000"/>
                <w:sz w:val="24"/>
                <w:szCs w:val="24"/>
              </w:rPr>
              <w:t>4.</w:t>
            </w:r>
            <w:r w:rsidR="00E118E4" w:rsidRPr="00F45A6B">
              <w:rPr>
                <w:rFonts w:ascii="Times New Roman" w:eastAsia="Times New Roman" w:hAnsi="Times New Roman" w:cs="Times New Roman"/>
                <w:b/>
                <w:strike/>
                <w:color w:val="FF0000"/>
                <w:sz w:val="24"/>
                <w:szCs w:val="24"/>
              </w:rPr>
              <w:t xml:space="preserve"> </w:t>
            </w:r>
            <w:r w:rsidR="00F45A6B" w:rsidRPr="00F45A6B">
              <w:rPr>
                <w:rFonts w:ascii="Times New Roman" w:eastAsia="Times New Roman" w:hAnsi="Times New Roman" w:cs="Times New Roman"/>
                <w:b/>
                <w:strike/>
                <w:color w:val="FF0000"/>
                <w:sz w:val="24"/>
                <w:szCs w:val="24"/>
              </w:rPr>
              <w:t>The market activities of our key competitors have become far more hostile.</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ENVD</w:t>
            </w:r>
            <w:r w:rsidR="00E118E4">
              <w:rPr>
                <w:rFonts w:ascii="Times New Roman" w:eastAsia="Times New Roman" w:hAnsi="Times New Roman" w:cs="Times New Roman"/>
                <w:b/>
                <w:sz w:val="24"/>
                <w:szCs w:val="24"/>
              </w:rPr>
              <w:t>5.</w:t>
            </w:r>
            <w:r w:rsidR="00E118E4">
              <w:rPr>
                <w:rFonts w:ascii="Times New Roman" w:eastAsia="Times New Roman" w:hAnsi="Times New Roman" w:cs="Times New Roman"/>
                <w:sz w:val="24"/>
                <w:szCs w:val="24"/>
              </w:rPr>
              <w:t xml:space="preserve"> </w:t>
            </w:r>
            <w:r w:rsidR="00F45A6B" w:rsidRPr="00F93877">
              <w:rPr>
                <w:rFonts w:ascii="Times New Roman" w:eastAsia="Times New Roman" w:hAnsi="Times New Roman" w:cs="Times New Roman"/>
                <w:bCs/>
                <w:sz w:val="24"/>
                <w:szCs w:val="24"/>
              </w:rPr>
              <w:t>Legal, political, and economic constraints (e.g. government regulations) have prol</w:t>
            </w:r>
            <w:r w:rsidR="00A02EA6">
              <w:rPr>
                <w:rFonts w:ascii="Times New Roman" w:eastAsia="Times New Roman" w:hAnsi="Times New Roman" w:cs="Times New Roman"/>
                <w:bCs/>
                <w:sz w:val="24"/>
                <w:szCs w:val="24"/>
              </w:rPr>
              <w:t xml:space="preserve">iferated greatly over the past </w:t>
            </w:r>
            <w:r w:rsidR="00F45A6B" w:rsidRPr="00F93877">
              <w:rPr>
                <w:rFonts w:ascii="Times New Roman" w:eastAsia="Times New Roman" w:hAnsi="Times New Roman" w:cs="Times New Roman"/>
                <w:bCs/>
                <w:sz w:val="24"/>
                <w:szCs w:val="24"/>
              </w:rPr>
              <w:t>years.</w:t>
            </w:r>
          </w:p>
        </w:tc>
        <w:tc>
          <w:tcPr>
            <w:tcW w:w="1821" w:type="dxa"/>
          </w:tcPr>
          <w:p w:rsidR="00E118E4" w:rsidRDefault="00F45A6B" w:rsidP="002A064F">
            <w:pPr>
              <w:spacing w:line="240" w:lineRule="auto"/>
              <w:jc w:val="both"/>
              <w:rPr>
                <w:rFonts w:ascii="Arimo" w:eastAsia="Arimo" w:hAnsi="Arimo" w:cs="Arimo"/>
                <w:sz w:val="24"/>
                <w:szCs w:val="24"/>
              </w:rPr>
            </w:pPr>
            <w:r>
              <w:rPr>
                <w:rFonts w:ascii="Times New Roman" w:eastAsia="Times New Roman" w:hAnsi="Times New Roman" w:cs="Times New Roman"/>
                <w:sz w:val="24"/>
                <w:szCs w:val="24"/>
              </w:rPr>
              <w:fldChar w:fldCharType="begin"/>
            </w:r>
            <w:r w:rsidR="00A06944">
              <w:rPr>
                <w:rFonts w:ascii="Times New Roman" w:eastAsia="Times New Roman" w:hAnsi="Times New Roman" w:cs="Times New Roman"/>
                <w:sz w:val="24"/>
                <w:szCs w:val="24"/>
              </w:rPr>
              <w:instrText xml:space="preserve"> ADDIN ZOTERO_ITEM CSL_CITATION {"citationID":"pCYAV0qA","properties":{"formattedCitation":"(Miller, 1987)","plainCitation":"(Miller, 1987)","noteIndex":0},"citationItems":[{"id":8622,"uris":["http://zotero.org/users/12485464/items/B9QH8M75"],"itemData":{"id":8622,"type":"article-journal","abstract":"Abstract\n            An attempt is made to relate several common dimensions of business‐level strategy to their organizational contexts. A model is developed that predicts the structural and environmental correlates of a strategy on the basis of the number and uncertainty of its contingencies. It is shown that strategies of complex product innovation, marketing differentiation, market breadth and conservative cost control each have pronounced but very different relationships with bureaucratic and organic structural devices of uncertainty reduction, differentiation and integration, and with environmental dynamism, heterogeneity and hostility.","container-title":"Strategic Management Journal","DOI":"10.1002/smj.4250080106","ISSN":"0143-2095, 1097-0266","issue":"1","journalAbbreviation":"Strategic Management Journal","language":"en","license":"http://onlinelibrary.wiley.com/termsAndConditions#vor","page":"55-76","source":"DOI.org (Crossref)","title":"The structural and environmental correlates of business strategy","volume":"8","author":[{"family":"Miller","given":"Danny"}],"issued":{"date-parts":[["1987",1]]}}}],"schema":"https://github.com/citation-style-language/schema/raw/master/csl-citation.json"} </w:instrText>
            </w:r>
            <w:r>
              <w:rPr>
                <w:rFonts w:ascii="Times New Roman" w:eastAsia="Times New Roman" w:hAnsi="Times New Roman" w:cs="Times New Roman"/>
                <w:sz w:val="24"/>
                <w:szCs w:val="24"/>
              </w:rPr>
              <w:fldChar w:fldCharType="separate"/>
            </w:r>
            <w:r w:rsidRPr="0034702E">
              <w:rPr>
                <w:rFonts w:ascii="Times New Roman" w:hAnsi="Times New Roman" w:cs="Times New Roman"/>
                <w:sz w:val="24"/>
              </w:rPr>
              <w:t>(Miller, 1987)</w:t>
            </w:r>
            <w:r>
              <w:rPr>
                <w:rFonts w:ascii="Times New Roman" w:eastAsia="Times New Roman" w:hAnsi="Times New Roman" w:cs="Times New Roman"/>
                <w:sz w:val="24"/>
                <w:szCs w:val="24"/>
              </w:rPr>
              <w:fldChar w:fldCharType="end"/>
            </w:r>
          </w:p>
        </w:tc>
      </w:tr>
      <w:tr w:rsidR="00E118E4" w:rsidTr="005E3B69">
        <w:tc>
          <w:tcPr>
            <w:tcW w:w="7195" w:type="dxa"/>
          </w:tcPr>
          <w:p w:rsidR="00F45A6B" w:rsidRDefault="00F45A6B" w:rsidP="00F45A6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Ambidexterity (</w:t>
            </w:r>
            <w:r w:rsidRPr="006C4619">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D</w:t>
            </w:r>
            <w:r w:rsidRPr="006C4619">
              <w:rPr>
                <w:rFonts w:ascii="Times New Roman" w:eastAsia="Times New Roman" w:hAnsi="Times New Roman" w:cs="Times New Roman"/>
                <w:b/>
                <w:sz w:val="24"/>
                <w:szCs w:val="24"/>
              </w:rPr>
              <w:t>)</w:t>
            </w:r>
          </w:p>
          <w:p w:rsidR="00A02EA6" w:rsidRDefault="00A02EA6" w:rsidP="00F45A6B">
            <w:pPr>
              <w:spacing w:after="0" w:line="240" w:lineRule="auto"/>
              <w:jc w:val="both"/>
              <w:rPr>
                <w:rFonts w:ascii="Times New Roman" w:eastAsia="Times New Roman" w:hAnsi="Times New Roman" w:cs="Times New Roman"/>
                <w:b/>
                <w:sz w:val="24"/>
                <w:szCs w:val="24"/>
              </w:rPr>
            </w:pPr>
          </w:p>
          <w:p w:rsidR="00F45A6B" w:rsidRPr="006C4619" w:rsidRDefault="00F45A6B" w:rsidP="00F45A6B">
            <w:pPr>
              <w:spacing w:after="0" w:line="240" w:lineRule="auto"/>
              <w:jc w:val="both"/>
              <w:rPr>
                <w:rFonts w:ascii="Times New Roman" w:eastAsia="Times New Roman" w:hAnsi="Times New Roman" w:cs="Times New Roman"/>
                <w:sz w:val="24"/>
                <w:szCs w:val="24"/>
              </w:rPr>
            </w:pPr>
            <w:r w:rsidRPr="006C4619">
              <w:rPr>
                <w:rFonts w:ascii="Times New Roman" w:eastAsia="Times New Roman" w:hAnsi="Times New Roman" w:cs="Times New Roman"/>
                <w:bCs/>
                <w:sz w:val="24"/>
                <w:szCs w:val="24"/>
              </w:rPr>
              <w:t xml:space="preserve">In our organization, we </w:t>
            </w:r>
          </w:p>
          <w:p w:rsidR="00F45A6B" w:rsidRPr="006C4619" w:rsidRDefault="00F45A6B" w:rsidP="00F45A6B">
            <w:pPr>
              <w:spacing w:after="0" w:line="240" w:lineRule="auto"/>
              <w:jc w:val="both"/>
              <w:rPr>
                <w:rFonts w:ascii="Times New Roman" w:eastAsia="Times New Roman" w:hAnsi="Times New Roman" w:cs="Times New Roman"/>
                <w:bCs/>
                <w:sz w:val="24"/>
                <w:szCs w:val="24"/>
              </w:rPr>
            </w:pPr>
            <w:r w:rsidRPr="00F93877">
              <w:rPr>
                <w:rFonts w:ascii="Times New Roman" w:eastAsia="Times New Roman" w:hAnsi="Times New Roman" w:cs="Times New Roman"/>
                <w:b/>
                <w:sz w:val="24"/>
                <w:szCs w:val="24"/>
              </w:rPr>
              <w:t>AD1</w:t>
            </w:r>
            <w:r w:rsidRPr="006C4619">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constantly</w:t>
            </w:r>
            <w:proofErr w:type="gramEnd"/>
            <w:r w:rsidRPr="006C4619">
              <w:rPr>
                <w:rFonts w:ascii="Times New Roman" w:eastAsia="Times New Roman" w:hAnsi="Times New Roman" w:cs="Times New Roman"/>
                <w:bCs/>
                <w:sz w:val="24"/>
                <w:szCs w:val="24"/>
              </w:rPr>
              <w:t xml:space="preserve"> acquire new skills to be able to develop new products and services.</w:t>
            </w:r>
          </w:p>
          <w:p w:rsidR="00F45A6B" w:rsidRPr="006C4619" w:rsidRDefault="00F45A6B" w:rsidP="00F45A6B">
            <w:pPr>
              <w:spacing w:after="0" w:line="240" w:lineRule="auto"/>
              <w:jc w:val="both"/>
              <w:rPr>
                <w:rFonts w:ascii="Times New Roman" w:eastAsia="Times New Roman" w:hAnsi="Times New Roman" w:cs="Times New Roman"/>
                <w:bCs/>
                <w:sz w:val="24"/>
                <w:szCs w:val="24"/>
              </w:rPr>
            </w:pPr>
            <w:r w:rsidRPr="00F93877">
              <w:rPr>
                <w:rFonts w:ascii="Times New Roman" w:eastAsia="Times New Roman" w:hAnsi="Times New Roman" w:cs="Times New Roman"/>
                <w:b/>
                <w:sz w:val="24"/>
                <w:szCs w:val="24"/>
              </w:rPr>
              <w:t>AD2</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frequently</w:t>
            </w:r>
            <w:proofErr w:type="gramEnd"/>
            <w:r w:rsidRPr="006C4619">
              <w:rPr>
                <w:rFonts w:ascii="Times New Roman" w:eastAsia="Times New Roman" w:hAnsi="Times New Roman" w:cs="Times New Roman"/>
                <w:bCs/>
                <w:sz w:val="24"/>
                <w:szCs w:val="24"/>
              </w:rPr>
              <w:t xml:space="preserve"> learn new skills to position ourselves in new markets.</w:t>
            </w:r>
          </w:p>
          <w:p w:rsidR="00F45A6B" w:rsidRPr="006C4619" w:rsidRDefault="00F45A6B" w:rsidP="00F45A6B">
            <w:pPr>
              <w:spacing w:after="0" w:line="240" w:lineRule="auto"/>
              <w:jc w:val="both"/>
              <w:rPr>
                <w:rFonts w:ascii="Times New Roman" w:eastAsia="Times New Roman" w:hAnsi="Times New Roman" w:cs="Times New Roman"/>
                <w:bCs/>
                <w:sz w:val="24"/>
                <w:szCs w:val="24"/>
              </w:rPr>
            </w:pPr>
            <w:r w:rsidRPr="00F93877">
              <w:rPr>
                <w:rFonts w:ascii="Times New Roman" w:eastAsia="Times New Roman" w:hAnsi="Times New Roman" w:cs="Times New Roman"/>
                <w:b/>
                <w:sz w:val="24"/>
                <w:szCs w:val="24"/>
              </w:rPr>
              <w:t>AD3</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regularly</w:t>
            </w:r>
            <w:proofErr w:type="gramEnd"/>
            <w:r w:rsidRPr="006C4619">
              <w:rPr>
                <w:rFonts w:ascii="Times New Roman" w:eastAsia="Times New Roman" w:hAnsi="Times New Roman" w:cs="Times New Roman"/>
                <w:bCs/>
                <w:sz w:val="24"/>
                <w:szCs w:val="24"/>
              </w:rPr>
              <w:t xml:space="preserve"> look for new technologies for our production processes.</w:t>
            </w:r>
          </w:p>
          <w:p w:rsidR="00F45A6B" w:rsidRPr="006C4619" w:rsidRDefault="00F45A6B" w:rsidP="00F45A6B">
            <w:pPr>
              <w:spacing w:after="0" w:line="240" w:lineRule="auto"/>
              <w:jc w:val="both"/>
              <w:rPr>
                <w:rFonts w:ascii="Times New Roman" w:eastAsia="Times New Roman" w:hAnsi="Times New Roman" w:cs="Times New Roman"/>
                <w:bCs/>
                <w:sz w:val="24"/>
                <w:szCs w:val="24"/>
              </w:rPr>
            </w:pPr>
            <w:r w:rsidRPr="00F93877">
              <w:rPr>
                <w:rFonts w:ascii="Times New Roman" w:eastAsia="Times New Roman" w:hAnsi="Times New Roman" w:cs="Times New Roman"/>
                <w:b/>
                <w:sz w:val="24"/>
                <w:szCs w:val="24"/>
              </w:rPr>
              <w:t>AD4</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develop</w:t>
            </w:r>
            <w:proofErr w:type="gramEnd"/>
            <w:r w:rsidRPr="006C4619">
              <w:rPr>
                <w:rFonts w:ascii="Times New Roman" w:eastAsia="Times New Roman" w:hAnsi="Times New Roman" w:cs="Times New Roman"/>
                <w:bCs/>
                <w:sz w:val="24"/>
                <w:szCs w:val="24"/>
              </w:rPr>
              <w:t xml:space="preserve"> new and creative ways to satisfy current and potential clients.</w:t>
            </w:r>
          </w:p>
          <w:p w:rsidR="00F45A6B" w:rsidRPr="006C4619" w:rsidRDefault="00F45A6B" w:rsidP="00F45A6B">
            <w:pPr>
              <w:spacing w:after="0" w:line="240" w:lineRule="auto"/>
              <w:jc w:val="both"/>
              <w:rPr>
                <w:rFonts w:ascii="Times New Roman" w:eastAsia="Times New Roman" w:hAnsi="Times New Roman" w:cs="Times New Roman"/>
                <w:bCs/>
                <w:sz w:val="24"/>
                <w:szCs w:val="24"/>
              </w:rPr>
            </w:pPr>
            <w:r w:rsidRPr="00F93877">
              <w:rPr>
                <w:rFonts w:ascii="Times New Roman" w:eastAsia="Times New Roman" w:hAnsi="Times New Roman" w:cs="Times New Roman"/>
                <w:b/>
                <w:sz w:val="24"/>
                <w:szCs w:val="24"/>
              </w:rPr>
              <w:t>AD5</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regularly</w:t>
            </w:r>
            <w:proofErr w:type="gramEnd"/>
            <w:r w:rsidRPr="006C4619">
              <w:rPr>
                <w:rFonts w:ascii="Times New Roman" w:eastAsia="Times New Roman" w:hAnsi="Times New Roman" w:cs="Times New Roman"/>
                <w:bCs/>
                <w:sz w:val="24"/>
                <w:szCs w:val="24"/>
              </w:rPr>
              <w:t xml:space="preserve"> apply our current knowledge to adapt our products and services.</w:t>
            </w:r>
          </w:p>
          <w:p w:rsidR="00F45A6B" w:rsidRPr="006C4619" w:rsidRDefault="00F45A6B" w:rsidP="00F45A6B">
            <w:pPr>
              <w:spacing w:after="0" w:line="240" w:lineRule="auto"/>
              <w:jc w:val="both"/>
              <w:rPr>
                <w:rFonts w:ascii="Times New Roman" w:eastAsia="Times New Roman" w:hAnsi="Times New Roman" w:cs="Times New Roman"/>
                <w:bCs/>
                <w:sz w:val="24"/>
                <w:szCs w:val="24"/>
              </w:rPr>
            </w:pPr>
            <w:r w:rsidRPr="00F93877">
              <w:rPr>
                <w:rFonts w:ascii="Times New Roman" w:eastAsia="Times New Roman" w:hAnsi="Times New Roman" w:cs="Times New Roman"/>
                <w:b/>
                <w:sz w:val="24"/>
                <w:szCs w:val="24"/>
              </w:rPr>
              <w:t>AD6</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regularly</w:t>
            </w:r>
            <w:proofErr w:type="gramEnd"/>
            <w:r w:rsidRPr="006C4619">
              <w:rPr>
                <w:rFonts w:ascii="Times New Roman" w:eastAsia="Times New Roman" w:hAnsi="Times New Roman" w:cs="Times New Roman"/>
                <w:bCs/>
                <w:sz w:val="24"/>
                <w:szCs w:val="24"/>
              </w:rPr>
              <w:t xml:space="preserve"> use continuous improvement methodologies to improve quality and reduce costs.</w:t>
            </w:r>
          </w:p>
          <w:p w:rsidR="00F45A6B" w:rsidRPr="006C4619" w:rsidRDefault="00F45A6B" w:rsidP="00F45A6B">
            <w:pPr>
              <w:spacing w:after="0" w:line="240" w:lineRule="auto"/>
              <w:jc w:val="both"/>
              <w:rPr>
                <w:rFonts w:ascii="Times New Roman" w:eastAsia="Times New Roman" w:hAnsi="Times New Roman" w:cs="Times New Roman"/>
                <w:bCs/>
                <w:sz w:val="24"/>
                <w:szCs w:val="24"/>
              </w:rPr>
            </w:pPr>
            <w:r w:rsidRPr="00F93877">
              <w:rPr>
                <w:rFonts w:ascii="Times New Roman" w:eastAsia="Times New Roman" w:hAnsi="Times New Roman" w:cs="Times New Roman"/>
                <w:b/>
                <w:sz w:val="24"/>
                <w:szCs w:val="24"/>
              </w:rPr>
              <w:t>AD7</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continuously</w:t>
            </w:r>
            <w:proofErr w:type="gramEnd"/>
            <w:r w:rsidRPr="006C4619">
              <w:rPr>
                <w:rFonts w:ascii="Times New Roman" w:eastAsia="Times New Roman" w:hAnsi="Times New Roman" w:cs="Times New Roman"/>
                <w:bCs/>
                <w:sz w:val="24"/>
                <w:szCs w:val="24"/>
              </w:rPr>
              <w:t xml:space="preserve"> learn to improve the efficiency of our processes.</w:t>
            </w:r>
          </w:p>
          <w:p w:rsidR="00E118E4" w:rsidRDefault="00F45A6B" w:rsidP="00F45A6B">
            <w:pPr>
              <w:spacing w:line="240" w:lineRule="auto"/>
              <w:jc w:val="both"/>
              <w:rPr>
                <w:rFonts w:ascii="Times New Roman" w:eastAsia="Times New Roman" w:hAnsi="Times New Roman" w:cs="Times New Roman"/>
                <w:sz w:val="24"/>
                <w:szCs w:val="24"/>
              </w:rPr>
            </w:pPr>
            <w:r w:rsidRPr="00F93877">
              <w:rPr>
                <w:rFonts w:ascii="Times New Roman" w:eastAsia="Times New Roman" w:hAnsi="Times New Roman" w:cs="Times New Roman"/>
                <w:b/>
                <w:sz w:val="24"/>
                <w:szCs w:val="24"/>
              </w:rPr>
              <w:t>AD8</w:t>
            </w:r>
            <w:r>
              <w:rPr>
                <w:rFonts w:ascii="Times New Roman" w:eastAsia="Times New Roman" w:hAnsi="Times New Roman" w:cs="Times New Roman"/>
                <w:bCs/>
                <w:sz w:val="24"/>
                <w:szCs w:val="24"/>
              </w:rPr>
              <w:t xml:space="preserve">. </w:t>
            </w:r>
            <w:proofErr w:type="gramStart"/>
            <w:r w:rsidRPr="006C4619">
              <w:rPr>
                <w:rFonts w:ascii="Times New Roman" w:eastAsia="Times New Roman" w:hAnsi="Times New Roman" w:cs="Times New Roman"/>
                <w:bCs/>
                <w:sz w:val="24"/>
                <w:szCs w:val="24"/>
              </w:rPr>
              <w:t>tries</w:t>
            </w:r>
            <w:proofErr w:type="gramEnd"/>
            <w:r w:rsidRPr="006C4619">
              <w:rPr>
                <w:rFonts w:ascii="Times New Roman" w:eastAsia="Times New Roman" w:hAnsi="Times New Roman" w:cs="Times New Roman"/>
                <w:bCs/>
                <w:sz w:val="24"/>
                <w:szCs w:val="24"/>
              </w:rPr>
              <w:t xml:space="preserve"> to find out more about our clients to introduce small improvements in what we offer them.</w:t>
            </w:r>
          </w:p>
        </w:tc>
        <w:tc>
          <w:tcPr>
            <w:tcW w:w="1821" w:type="dxa"/>
          </w:tcPr>
          <w:p w:rsidR="00E118E4" w:rsidRDefault="00E118E4" w:rsidP="00F45A6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Benner and Tushman (2003), Jansen et al. (2006) and </w:t>
            </w:r>
            <w:proofErr w:type="spellStart"/>
            <w:r>
              <w:rPr>
                <w:rFonts w:ascii="Times New Roman" w:eastAsia="Times New Roman" w:hAnsi="Times New Roman" w:cs="Times New Roman"/>
                <w:sz w:val="24"/>
                <w:szCs w:val="24"/>
              </w:rPr>
              <w:t>Lubatkin</w:t>
            </w:r>
            <w:proofErr w:type="spellEnd"/>
            <w:r>
              <w:rPr>
                <w:rFonts w:ascii="Times New Roman" w:eastAsia="Times New Roman" w:hAnsi="Times New Roman" w:cs="Times New Roman"/>
                <w:sz w:val="24"/>
                <w:szCs w:val="24"/>
              </w:rPr>
              <w:t xml:space="preserve"> et al. (2006).</w:t>
            </w:r>
          </w:p>
        </w:tc>
      </w:tr>
      <w:tr w:rsidR="00E118E4" w:rsidTr="005E3B69">
        <w:tc>
          <w:tcPr>
            <w:tcW w:w="7195" w:type="dxa"/>
          </w:tcPr>
          <w:p w:rsidR="00E118E4" w:rsidRDefault="00E118E4" w:rsidP="00F45A6B">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Agility (</w:t>
            </w:r>
            <w:r w:rsidR="003C1E97">
              <w:rPr>
                <w:rFonts w:ascii="Times New Roman" w:eastAsia="Times New Roman" w:hAnsi="Times New Roman" w:cs="Times New Roman"/>
                <w:b/>
                <w:sz w:val="24"/>
                <w:szCs w:val="24"/>
              </w:rPr>
              <w:t>AG</w:t>
            </w:r>
            <w:r>
              <w:rPr>
                <w:rFonts w:ascii="Times New Roman" w:eastAsia="Times New Roman" w:hAnsi="Times New Roman" w:cs="Times New Roman"/>
                <w:b/>
                <w:sz w:val="24"/>
                <w:szCs w:val="24"/>
              </w:rPr>
              <w:t>)</w:t>
            </w:r>
          </w:p>
          <w:p w:rsidR="00A02EA6" w:rsidRDefault="00A02EA6" w:rsidP="00F45A6B">
            <w:pPr>
              <w:spacing w:after="0" w:line="240" w:lineRule="auto"/>
              <w:jc w:val="both"/>
              <w:rPr>
                <w:rFonts w:ascii="Times New Roman" w:eastAsia="Times New Roman" w:hAnsi="Times New Roman" w:cs="Times New Roman"/>
                <w:b/>
                <w:sz w:val="24"/>
                <w:szCs w:val="24"/>
              </w:rPr>
            </w:pPr>
          </w:p>
          <w:p w:rsidR="00E118E4" w:rsidRPr="00E118E4" w:rsidRDefault="00F45A6B" w:rsidP="00F45A6B">
            <w:pPr>
              <w:spacing w:after="0" w:line="240" w:lineRule="auto"/>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strike/>
                <w:color w:val="FF0000"/>
                <w:sz w:val="24"/>
                <w:szCs w:val="24"/>
              </w:rPr>
              <w:t>AG</w:t>
            </w:r>
            <w:r w:rsidR="00E118E4" w:rsidRPr="00E118E4">
              <w:rPr>
                <w:rFonts w:ascii="Times New Roman" w:eastAsia="Times New Roman" w:hAnsi="Times New Roman" w:cs="Times New Roman"/>
                <w:strike/>
                <w:color w:val="FF0000"/>
                <w:sz w:val="24"/>
                <w:szCs w:val="24"/>
              </w:rPr>
              <w:t>1. Change is an inherent part of our organizational culture.</w:t>
            </w:r>
          </w:p>
          <w:p w:rsidR="00E118E4" w:rsidRPr="00E118E4" w:rsidRDefault="00F45A6B" w:rsidP="00F45A6B">
            <w:pPr>
              <w:spacing w:after="0" w:line="240" w:lineRule="auto"/>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strike/>
                <w:color w:val="FF0000"/>
                <w:sz w:val="24"/>
                <w:szCs w:val="24"/>
              </w:rPr>
              <w:t xml:space="preserve">AG2. </w:t>
            </w:r>
            <w:r w:rsidR="00E118E4" w:rsidRPr="00E118E4">
              <w:rPr>
                <w:rFonts w:ascii="Times New Roman" w:eastAsia="Times New Roman" w:hAnsi="Times New Roman" w:cs="Times New Roman"/>
                <w:strike/>
                <w:color w:val="FF0000"/>
                <w:sz w:val="24"/>
                <w:szCs w:val="24"/>
              </w:rPr>
              <w:t xml:space="preserve">Our organization is expected to keep improving our business processes through </w:t>
            </w:r>
            <w:r w:rsidR="00B835A0" w:rsidRPr="00F45A6B">
              <w:rPr>
                <w:rFonts w:ascii="Times New Roman" w:eastAsia="Times New Roman" w:hAnsi="Times New Roman" w:cs="Times New Roman"/>
                <w:strike/>
                <w:color w:val="FF0000"/>
                <w:sz w:val="24"/>
                <w:szCs w:val="24"/>
              </w:rPr>
              <w:t>technological</w:t>
            </w:r>
            <w:r w:rsidR="00E118E4" w:rsidRPr="00E118E4">
              <w:rPr>
                <w:rFonts w:ascii="Times New Roman" w:eastAsia="Times New Roman" w:hAnsi="Times New Roman" w:cs="Times New Roman"/>
                <w:strike/>
                <w:color w:val="FF0000"/>
                <w:sz w:val="24"/>
                <w:szCs w:val="24"/>
              </w:rPr>
              <w:t xml:space="preserve"> technologies.</w:t>
            </w:r>
          </w:p>
          <w:p w:rsidR="00E118E4" w:rsidRPr="00E118E4" w:rsidRDefault="00F45A6B" w:rsidP="00F45A6B">
            <w:pPr>
              <w:spacing w:after="0" w:line="240" w:lineRule="auto"/>
              <w:jc w:val="both"/>
              <w:rPr>
                <w:rFonts w:ascii="Times New Roman" w:eastAsia="Times New Roman" w:hAnsi="Times New Roman" w:cs="Times New Roman"/>
                <w:strike/>
                <w:color w:val="FF0000"/>
                <w:sz w:val="24"/>
                <w:szCs w:val="24"/>
              </w:rPr>
            </w:pPr>
            <w:r>
              <w:rPr>
                <w:rFonts w:ascii="Times New Roman" w:eastAsia="Times New Roman" w:hAnsi="Times New Roman" w:cs="Times New Roman"/>
                <w:strike/>
                <w:color w:val="FF0000"/>
                <w:sz w:val="24"/>
                <w:szCs w:val="24"/>
              </w:rPr>
              <w:t>AG</w:t>
            </w:r>
            <w:r w:rsidR="00E118E4" w:rsidRPr="00E118E4">
              <w:rPr>
                <w:rFonts w:ascii="Times New Roman" w:eastAsia="Times New Roman" w:hAnsi="Times New Roman" w:cs="Times New Roman"/>
                <w:strike/>
                <w:color w:val="FF0000"/>
                <w:sz w:val="24"/>
                <w:szCs w:val="24"/>
              </w:rPr>
              <w:t xml:space="preserve">3. Our organization is continually looking for opportunities to innovate using </w:t>
            </w:r>
            <w:r w:rsidR="00B835A0" w:rsidRPr="00F45A6B">
              <w:rPr>
                <w:rFonts w:ascii="Times New Roman" w:eastAsia="Times New Roman" w:hAnsi="Times New Roman" w:cs="Times New Roman"/>
                <w:strike/>
                <w:color w:val="FF0000"/>
                <w:sz w:val="24"/>
                <w:szCs w:val="24"/>
              </w:rPr>
              <w:t>technological</w:t>
            </w:r>
            <w:r w:rsidR="00E118E4" w:rsidRPr="00E118E4">
              <w:rPr>
                <w:rFonts w:ascii="Times New Roman" w:eastAsia="Times New Roman" w:hAnsi="Times New Roman" w:cs="Times New Roman"/>
                <w:strike/>
                <w:color w:val="FF0000"/>
                <w:sz w:val="24"/>
                <w:szCs w:val="24"/>
              </w:rPr>
              <w:t xml:space="preserve"> technologies.</w:t>
            </w:r>
          </w:p>
          <w:p w:rsidR="00E118E4" w:rsidRDefault="00F45A6B" w:rsidP="00F45A6B">
            <w:pPr>
              <w:spacing w:after="0" w:line="240" w:lineRule="auto"/>
              <w:rPr>
                <w:rFonts w:ascii="Times New Roman" w:eastAsia="Times New Roman" w:hAnsi="Times New Roman" w:cs="Times New Roman"/>
                <w:sz w:val="24"/>
                <w:szCs w:val="24"/>
              </w:rPr>
            </w:pPr>
            <w:r w:rsidRPr="00A02EA6">
              <w:rPr>
                <w:rFonts w:ascii="Times New Roman" w:eastAsia="Times New Roman" w:hAnsi="Times New Roman" w:cs="Times New Roman"/>
                <w:sz w:val="24"/>
                <w:szCs w:val="24"/>
              </w:rPr>
              <w:t>AG</w:t>
            </w:r>
            <w:r w:rsidR="00E118E4">
              <w:rPr>
                <w:rFonts w:ascii="Times New Roman" w:eastAsia="Times New Roman" w:hAnsi="Times New Roman" w:cs="Times New Roman"/>
                <w:sz w:val="24"/>
                <w:szCs w:val="24"/>
              </w:rPr>
              <w:t>4. Our organization is willing to take risks to try new technologies.</w:t>
            </w:r>
          </w:p>
          <w:p w:rsidR="00E118E4" w:rsidRDefault="00F45A6B" w:rsidP="00F45A6B">
            <w:pPr>
              <w:spacing w:after="0" w:line="240" w:lineRule="auto"/>
              <w:rPr>
                <w:rFonts w:ascii="Times New Roman" w:eastAsia="Times New Roman" w:hAnsi="Times New Roman" w:cs="Times New Roman"/>
                <w:sz w:val="24"/>
                <w:szCs w:val="24"/>
              </w:rPr>
            </w:pPr>
            <w:r w:rsidRPr="00A02EA6">
              <w:rPr>
                <w:rFonts w:ascii="Times New Roman" w:eastAsia="Times New Roman" w:hAnsi="Times New Roman" w:cs="Times New Roman"/>
                <w:sz w:val="24"/>
                <w:szCs w:val="24"/>
              </w:rPr>
              <w:t>AG</w:t>
            </w:r>
            <w:r w:rsidR="00E118E4">
              <w:rPr>
                <w:rFonts w:ascii="Times New Roman" w:eastAsia="Times New Roman" w:hAnsi="Times New Roman" w:cs="Times New Roman"/>
                <w:sz w:val="24"/>
                <w:szCs w:val="24"/>
              </w:rPr>
              <w:t xml:space="preserve">5. Our organization is willing to embrace </w:t>
            </w:r>
            <w:r>
              <w:rPr>
                <w:rFonts w:ascii="Times New Roman" w:eastAsia="Times New Roman" w:hAnsi="Times New Roman" w:cs="Times New Roman"/>
                <w:sz w:val="24"/>
                <w:szCs w:val="24"/>
              </w:rPr>
              <w:t>i</w:t>
            </w:r>
            <w:r w:rsidR="00E118E4">
              <w:rPr>
                <w:rFonts w:ascii="Times New Roman" w:eastAsia="Times New Roman" w:hAnsi="Times New Roman" w:cs="Times New Roman"/>
                <w:sz w:val="24"/>
                <w:szCs w:val="24"/>
              </w:rPr>
              <w:t>nnovation, even at the expense of financial risk.</w:t>
            </w:r>
          </w:p>
          <w:p w:rsidR="00E118E4" w:rsidRDefault="00F45A6B" w:rsidP="00F45A6B">
            <w:pPr>
              <w:spacing w:after="0" w:line="240" w:lineRule="auto"/>
              <w:rPr>
                <w:rFonts w:ascii="Times New Roman" w:eastAsia="Times New Roman" w:hAnsi="Times New Roman" w:cs="Times New Roman"/>
                <w:sz w:val="24"/>
                <w:szCs w:val="24"/>
              </w:rPr>
            </w:pPr>
            <w:r w:rsidRPr="00A02EA6">
              <w:rPr>
                <w:rFonts w:ascii="Times New Roman" w:eastAsia="Times New Roman" w:hAnsi="Times New Roman" w:cs="Times New Roman"/>
                <w:sz w:val="24"/>
                <w:szCs w:val="24"/>
              </w:rPr>
              <w:t>AG</w:t>
            </w:r>
            <w:r>
              <w:rPr>
                <w:rFonts w:ascii="Times New Roman" w:eastAsia="Times New Roman" w:hAnsi="Times New Roman" w:cs="Times New Roman"/>
                <w:sz w:val="24"/>
                <w:szCs w:val="24"/>
              </w:rPr>
              <w:t xml:space="preserve">6. </w:t>
            </w:r>
            <w:r w:rsidR="00E118E4">
              <w:rPr>
                <w:rFonts w:ascii="Times New Roman" w:eastAsia="Times New Roman" w:hAnsi="Times New Roman" w:cs="Times New Roman"/>
                <w:sz w:val="24"/>
                <w:szCs w:val="24"/>
              </w:rPr>
              <w:t xml:space="preserve">Our organization encourages experimentation with new </w:t>
            </w:r>
            <w:r>
              <w:rPr>
                <w:rFonts w:ascii="Times New Roman" w:eastAsia="Times New Roman" w:hAnsi="Times New Roman" w:cs="Times New Roman"/>
                <w:sz w:val="24"/>
                <w:szCs w:val="24"/>
              </w:rPr>
              <w:t>technological</w:t>
            </w:r>
            <w:r w:rsidR="00E118E4">
              <w:rPr>
                <w:rFonts w:ascii="Times New Roman" w:eastAsia="Times New Roman" w:hAnsi="Times New Roman" w:cs="Times New Roman"/>
                <w:sz w:val="24"/>
                <w:szCs w:val="24"/>
              </w:rPr>
              <w:t xml:space="preserve"> technologies.</w:t>
            </w:r>
          </w:p>
          <w:p w:rsidR="00E118E4" w:rsidRDefault="00F45A6B" w:rsidP="00F45A6B">
            <w:pPr>
              <w:spacing w:after="0" w:line="240" w:lineRule="auto"/>
              <w:rPr>
                <w:rFonts w:ascii="Times New Roman" w:eastAsia="Times New Roman" w:hAnsi="Times New Roman" w:cs="Times New Roman"/>
                <w:sz w:val="24"/>
                <w:szCs w:val="24"/>
              </w:rPr>
            </w:pPr>
            <w:r w:rsidRPr="00A02EA6">
              <w:rPr>
                <w:rFonts w:ascii="Times New Roman" w:eastAsia="Times New Roman" w:hAnsi="Times New Roman" w:cs="Times New Roman"/>
                <w:sz w:val="24"/>
                <w:szCs w:val="24"/>
              </w:rPr>
              <w:t>AG</w:t>
            </w:r>
            <w:r w:rsidR="00E118E4">
              <w:rPr>
                <w:rFonts w:ascii="Times New Roman" w:eastAsia="Times New Roman" w:hAnsi="Times New Roman" w:cs="Times New Roman"/>
                <w:sz w:val="24"/>
                <w:szCs w:val="24"/>
              </w:rPr>
              <w:t>7. Our organization is bolder than our competitors when introducing new technologies</w:t>
            </w:r>
            <w:r>
              <w:rPr>
                <w:rFonts w:ascii="Times New Roman" w:eastAsia="Times New Roman" w:hAnsi="Times New Roman" w:cs="Times New Roman"/>
                <w:sz w:val="24"/>
                <w:szCs w:val="24"/>
              </w:rPr>
              <w:t xml:space="preserve"> in process and operations</w:t>
            </w:r>
            <w:r w:rsidR="00E118E4">
              <w:rPr>
                <w:rFonts w:ascii="Times New Roman" w:eastAsia="Times New Roman" w:hAnsi="Times New Roman" w:cs="Times New Roman"/>
                <w:sz w:val="24"/>
                <w:szCs w:val="24"/>
              </w:rPr>
              <w:t>.</w:t>
            </w:r>
          </w:p>
        </w:tc>
        <w:tc>
          <w:tcPr>
            <w:tcW w:w="1821" w:type="dxa"/>
          </w:tcPr>
          <w:p w:rsidR="00E118E4" w:rsidRDefault="00E118E4" w:rsidP="00F45A6B">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Kő</w:t>
            </w:r>
            <w:proofErr w:type="spellEnd"/>
            <w:r>
              <w:rPr>
                <w:rFonts w:ascii="Times New Roman" w:eastAsia="Times New Roman" w:hAnsi="Times New Roman" w:cs="Times New Roman"/>
                <w:sz w:val="24"/>
                <w:szCs w:val="24"/>
              </w:rPr>
              <w:t>, A. et al. (2023)</w:t>
            </w:r>
          </w:p>
        </w:tc>
      </w:tr>
      <w:tr w:rsidR="00E118E4" w:rsidTr="005E3B69">
        <w:tc>
          <w:tcPr>
            <w:tcW w:w="7195" w:type="dxa"/>
          </w:tcPr>
          <w:p w:rsidR="00E118E4" w:rsidRDefault="00E118E4" w:rsidP="00A02EA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Resource Orchestration Capability</w:t>
            </w:r>
          </w:p>
          <w:p w:rsidR="00A02EA6" w:rsidRDefault="00A02EA6" w:rsidP="00A02EA6">
            <w:pPr>
              <w:spacing w:after="0" w:line="240" w:lineRule="auto"/>
              <w:rPr>
                <w:rFonts w:ascii="Times New Roman" w:eastAsia="Times New Roman" w:hAnsi="Times New Roman" w:cs="Times New Roman"/>
                <w:b/>
                <w:sz w:val="24"/>
                <w:szCs w:val="24"/>
              </w:rPr>
            </w:pPr>
          </w:p>
          <w:p w:rsidR="00E118E4" w:rsidRDefault="00E118E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firm has the capability to</w:t>
            </w:r>
          </w:p>
          <w:p w:rsidR="00E118E4" w:rsidRPr="00E118E4" w:rsidRDefault="00DC73C4" w:rsidP="00A02EA6">
            <w:pPr>
              <w:spacing w:after="0" w:line="240" w:lineRule="auto"/>
              <w:rPr>
                <w:rFonts w:ascii="Times New Roman" w:eastAsia="Times New Roman" w:hAnsi="Times New Roman" w:cs="Times New Roman"/>
                <w:strike/>
                <w:color w:val="FF0000"/>
                <w:sz w:val="24"/>
                <w:szCs w:val="24"/>
              </w:rPr>
            </w:pPr>
            <w:r>
              <w:rPr>
                <w:rFonts w:ascii="Times New Roman" w:eastAsia="Times New Roman" w:hAnsi="Times New Roman" w:cs="Times New Roman"/>
                <w:b/>
                <w:strike/>
                <w:color w:val="FF0000"/>
                <w:sz w:val="20"/>
                <w:szCs w:val="20"/>
              </w:rPr>
              <w:t>ROC</w:t>
            </w:r>
            <w:r w:rsidR="00E118E4" w:rsidRPr="00E118E4">
              <w:rPr>
                <w:rFonts w:ascii="Times New Roman" w:eastAsia="Times New Roman" w:hAnsi="Times New Roman" w:cs="Times New Roman"/>
                <w:b/>
                <w:strike/>
                <w:color w:val="FF0000"/>
                <w:sz w:val="24"/>
                <w:szCs w:val="24"/>
              </w:rPr>
              <w:t>1.</w:t>
            </w:r>
            <w:r w:rsidR="00E118E4" w:rsidRPr="00E118E4">
              <w:rPr>
                <w:rFonts w:ascii="Times New Roman" w:eastAsia="Times New Roman" w:hAnsi="Times New Roman" w:cs="Times New Roman"/>
                <w:strike/>
                <w:color w:val="FF0000"/>
                <w:sz w:val="24"/>
                <w:szCs w:val="24"/>
              </w:rPr>
              <w:t xml:space="preserve"> </w:t>
            </w:r>
            <w:proofErr w:type="gramStart"/>
            <w:r w:rsidR="00E118E4" w:rsidRPr="00E118E4">
              <w:rPr>
                <w:rFonts w:ascii="Times New Roman" w:eastAsia="Times New Roman" w:hAnsi="Times New Roman" w:cs="Times New Roman"/>
                <w:strike/>
                <w:color w:val="FF0000"/>
                <w:sz w:val="24"/>
                <w:szCs w:val="24"/>
              </w:rPr>
              <w:t>purchase</w:t>
            </w:r>
            <w:proofErr w:type="gramEnd"/>
            <w:r w:rsidR="00E118E4" w:rsidRPr="00E118E4">
              <w:rPr>
                <w:rFonts w:ascii="Times New Roman" w:eastAsia="Times New Roman" w:hAnsi="Times New Roman" w:cs="Times New Roman"/>
                <w:strike/>
                <w:color w:val="FF0000"/>
                <w:sz w:val="24"/>
                <w:szCs w:val="24"/>
              </w:rPr>
              <w:t xml:space="preserve"> valuable resources/assets from suppliers.</w:t>
            </w:r>
          </w:p>
          <w:p w:rsidR="00E118E4" w:rsidRDefault="00DC73C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0"/>
              </w:rPr>
              <w:t>ROC</w:t>
            </w:r>
            <w:r w:rsidR="00E118E4">
              <w:rPr>
                <w:rFonts w:ascii="Times New Roman" w:eastAsia="Times New Roman" w:hAnsi="Times New Roman" w:cs="Times New Roman"/>
                <w:b/>
                <w:sz w:val="24"/>
                <w:szCs w:val="24"/>
              </w:rPr>
              <w:t>2.</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develop</w:t>
            </w:r>
            <w:proofErr w:type="gramEnd"/>
            <w:r w:rsidR="00E118E4">
              <w:rPr>
                <w:rFonts w:ascii="Times New Roman" w:eastAsia="Times New Roman" w:hAnsi="Times New Roman" w:cs="Times New Roman"/>
                <w:sz w:val="24"/>
                <w:szCs w:val="24"/>
              </w:rPr>
              <w:t xml:space="preserve"> valuable resources/assets internally.</w:t>
            </w:r>
          </w:p>
          <w:p w:rsidR="00E118E4" w:rsidRPr="00E118E4" w:rsidRDefault="00DC73C4" w:rsidP="00A02EA6">
            <w:pPr>
              <w:spacing w:after="0" w:line="240" w:lineRule="auto"/>
              <w:rPr>
                <w:rFonts w:ascii="Times New Roman" w:eastAsia="Times New Roman" w:hAnsi="Times New Roman" w:cs="Times New Roman"/>
                <w:strike/>
                <w:color w:val="FF0000"/>
                <w:sz w:val="24"/>
                <w:szCs w:val="24"/>
              </w:rPr>
            </w:pPr>
            <w:r>
              <w:rPr>
                <w:rFonts w:ascii="Times New Roman" w:eastAsia="Times New Roman" w:hAnsi="Times New Roman" w:cs="Times New Roman"/>
                <w:b/>
                <w:strike/>
                <w:color w:val="FF0000"/>
                <w:sz w:val="20"/>
                <w:szCs w:val="20"/>
              </w:rPr>
              <w:t>ROC</w:t>
            </w:r>
            <w:r w:rsidR="00E118E4" w:rsidRPr="00E118E4">
              <w:rPr>
                <w:rFonts w:ascii="Times New Roman" w:eastAsia="Times New Roman" w:hAnsi="Times New Roman" w:cs="Times New Roman"/>
                <w:b/>
                <w:strike/>
                <w:color w:val="FF0000"/>
                <w:sz w:val="24"/>
                <w:szCs w:val="24"/>
              </w:rPr>
              <w:t>3.</w:t>
            </w:r>
            <w:r w:rsidR="00E118E4" w:rsidRPr="00E118E4">
              <w:rPr>
                <w:rFonts w:ascii="Times New Roman" w:eastAsia="Times New Roman" w:hAnsi="Times New Roman" w:cs="Times New Roman"/>
                <w:strike/>
                <w:color w:val="FF0000"/>
                <w:sz w:val="24"/>
                <w:szCs w:val="24"/>
              </w:rPr>
              <w:t xml:space="preserve"> </w:t>
            </w:r>
            <w:proofErr w:type="gramStart"/>
            <w:r w:rsidR="00E118E4" w:rsidRPr="00E118E4">
              <w:rPr>
                <w:rFonts w:ascii="Times New Roman" w:eastAsia="Times New Roman" w:hAnsi="Times New Roman" w:cs="Times New Roman"/>
                <w:strike/>
                <w:color w:val="FF0000"/>
                <w:sz w:val="24"/>
                <w:szCs w:val="24"/>
              </w:rPr>
              <w:t>decommission</w:t>
            </w:r>
            <w:proofErr w:type="gramEnd"/>
            <w:r w:rsidR="00E118E4" w:rsidRPr="00E118E4">
              <w:rPr>
                <w:rFonts w:ascii="Times New Roman" w:eastAsia="Times New Roman" w:hAnsi="Times New Roman" w:cs="Times New Roman"/>
                <w:strike/>
                <w:color w:val="FF0000"/>
                <w:sz w:val="24"/>
                <w:szCs w:val="24"/>
              </w:rPr>
              <w:t xml:space="preserve"> less valuable resources/assets.</w:t>
            </w:r>
          </w:p>
          <w:p w:rsidR="00E118E4" w:rsidRDefault="00DC73C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0"/>
              </w:rPr>
              <w:t>ROC</w:t>
            </w:r>
            <w:r w:rsidR="00E118E4">
              <w:rPr>
                <w:rFonts w:ascii="Times New Roman" w:eastAsia="Times New Roman" w:hAnsi="Times New Roman" w:cs="Times New Roman"/>
                <w:b/>
                <w:sz w:val="24"/>
                <w:szCs w:val="24"/>
              </w:rPr>
              <w:t>4.</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integrate</w:t>
            </w:r>
            <w:proofErr w:type="gramEnd"/>
            <w:r w:rsidR="00E118E4">
              <w:rPr>
                <w:rFonts w:ascii="Times New Roman" w:eastAsia="Times New Roman" w:hAnsi="Times New Roman" w:cs="Times New Roman"/>
                <w:sz w:val="24"/>
                <w:szCs w:val="24"/>
              </w:rPr>
              <w:t xml:space="preserve"> resources/ assets to build </w:t>
            </w:r>
            <w:r w:rsidR="00B835A0">
              <w:rPr>
                <w:rFonts w:ascii="Times New Roman" w:eastAsia="Times New Roman" w:hAnsi="Times New Roman" w:cs="Times New Roman"/>
                <w:sz w:val="24"/>
                <w:szCs w:val="24"/>
              </w:rPr>
              <w:t>technological</w:t>
            </w:r>
            <w:r w:rsidR="00E118E4">
              <w:rPr>
                <w:rFonts w:ascii="Times New Roman" w:eastAsia="Times New Roman" w:hAnsi="Times New Roman" w:cs="Times New Roman"/>
                <w:sz w:val="24"/>
                <w:szCs w:val="24"/>
              </w:rPr>
              <w:t xml:space="preserve"> capabilities.</w:t>
            </w:r>
          </w:p>
          <w:p w:rsidR="00E118E4" w:rsidRDefault="00DC73C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0"/>
              </w:rPr>
              <w:t>ROC</w:t>
            </w:r>
            <w:r w:rsidR="00E118E4">
              <w:rPr>
                <w:rFonts w:ascii="Times New Roman" w:eastAsia="Times New Roman" w:hAnsi="Times New Roman" w:cs="Times New Roman"/>
                <w:b/>
                <w:sz w:val="24"/>
                <w:szCs w:val="24"/>
              </w:rPr>
              <w:t>5.</w:t>
            </w:r>
            <w:r w:rsidR="00E118E4">
              <w:rPr>
                <w:rFonts w:ascii="Times New Roman" w:eastAsia="Times New Roman" w:hAnsi="Times New Roman" w:cs="Times New Roman"/>
                <w:sz w:val="24"/>
                <w:szCs w:val="24"/>
              </w:rPr>
              <w:t xml:space="preserve"> Enrich or extend existing capabilities with new </w:t>
            </w:r>
            <w:r w:rsidR="00B835A0">
              <w:rPr>
                <w:rFonts w:ascii="Times New Roman" w:eastAsia="Times New Roman" w:hAnsi="Times New Roman" w:cs="Times New Roman"/>
                <w:sz w:val="24"/>
                <w:szCs w:val="24"/>
              </w:rPr>
              <w:t>technologic</w:t>
            </w:r>
            <w:r w:rsidR="00E118E4">
              <w:rPr>
                <w:rFonts w:ascii="Times New Roman" w:eastAsia="Times New Roman" w:hAnsi="Times New Roman" w:cs="Times New Roman"/>
                <w:sz w:val="24"/>
                <w:szCs w:val="24"/>
              </w:rPr>
              <w:t>al resources/assets.</w:t>
            </w:r>
          </w:p>
          <w:p w:rsidR="00E118E4" w:rsidRDefault="00DC73C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0"/>
              </w:rPr>
              <w:t>ROC</w:t>
            </w:r>
            <w:r w:rsidR="00E118E4">
              <w:rPr>
                <w:rFonts w:ascii="Times New Roman" w:eastAsia="Times New Roman" w:hAnsi="Times New Roman" w:cs="Times New Roman"/>
                <w:b/>
                <w:sz w:val="24"/>
                <w:szCs w:val="24"/>
              </w:rPr>
              <w:t>6.</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pioneer</w:t>
            </w:r>
            <w:proofErr w:type="gramEnd"/>
            <w:r w:rsidR="00E118E4">
              <w:rPr>
                <w:rFonts w:ascii="Times New Roman" w:eastAsia="Times New Roman" w:hAnsi="Times New Roman" w:cs="Times New Roman"/>
                <w:sz w:val="24"/>
                <w:szCs w:val="24"/>
              </w:rPr>
              <w:t xml:space="preserve"> or create new </w:t>
            </w:r>
            <w:r w:rsidR="00B835A0">
              <w:rPr>
                <w:rFonts w:ascii="Times New Roman" w:eastAsia="Times New Roman" w:hAnsi="Times New Roman" w:cs="Times New Roman"/>
                <w:sz w:val="24"/>
                <w:szCs w:val="24"/>
              </w:rPr>
              <w:t>technologic</w:t>
            </w:r>
            <w:r w:rsidR="00E118E4">
              <w:rPr>
                <w:rFonts w:ascii="Times New Roman" w:eastAsia="Times New Roman" w:hAnsi="Times New Roman" w:cs="Times New Roman"/>
                <w:sz w:val="24"/>
                <w:szCs w:val="24"/>
              </w:rPr>
              <w:t>al capabilities.</w:t>
            </w:r>
          </w:p>
          <w:p w:rsidR="00E118E4" w:rsidRDefault="00DC73C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0"/>
              </w:rPr>
              <w:t>ROC</w:t>
            </w:r>
            <w:r w:rsidR="00E118E4">
              <w:rPr>
                <w:rFonts w:ascii="Times New Roman" w:eastAsia="Times New Roman" w:hAnsi="Times New Roman" w:cs="Times New Roman"/>
                <w:b/>
                <w:sz w:val="24"/>
                <w:szCs w:val="24"/>
              </w:rPr>
              <w:t>7.</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mobilize</w:t>
            </w:r>
            <w:proofErr w:type="gramEnd"/>
            <w:r w:rsidR="00E118E4">
              <w:rPr>
                <w:rFonts w:ascii="Times New Roman" w:eastAsia="Times New Roman" w:hAnsi="Times New Roman" w:cs="Times New Roman"/>
                <w:sz w:val="24"/>
                <w:szCs w:val="24"/>
              </w:rPr>
              <w:t xml:space="preserve"> our capabilities </w:t>
            </w:r>
            <w:r w:rsidR="00B835A0">
              <w:rPr>
                <w:rFonts w:ascii="Times New Roman" w:eastAsia="Times New Roman" w:hAnsi="Times New Roman" w:cs="Times New Roman"/>
                <w:sz w:val="24"/>
                <w:szCs w:val="24"/>
              </w:rPr>
              <w:t xml:space="preserve">to manage resource </w:t>
            </w:r>
            <w:r w:rsidR="00E118E4">
              <w:rPr>
                <w:rFonts w:ascii="Times New Roman" w:eastAsia="Times New Roman" w:hAnsi="Times New Roman" w:cs="Times New Roman"/>
                <w:sz w:val="24"/>
                <w:szCs w:val="24"/>
              </w:rPr>
              <w:t>towards a common vision.</w:t>
            </w:r>
          </w:p>
          <w:p w:rsidR="00E118E4" w:rsidRDefault="00DC73C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0"/>
              </w:rPr>
              <w:t>ROC</w:t>
            </w:r>
            <w:r w:rsidR="00E118E4">
              <w:rPr>
                <w:rFonts w:ascii="Times New Roman" w:eastAsia="Times New Roman" w:hAnsi="Times New Roman" w:cs="Times New Roman"/>
                <w:b/>
                <w:sz w:val="24"/>
                <w:szCs w:val="24"/>
              </w:rPr>
              <w:t>8.</w:t>
            </w:r>
            <w:r w:rsidR="00E118E4">
              <w:rPr>
                <w:rFonts w:ascii="Times New Roman" w:eastAsia="Times New Roman" w:hAnsi="Times New Roman" w:cs="Times New Roman"/>
                <w:sz w:val="24"/>
                <w:szCs w:val="24"/>
              </w:rPr>
              <w:t xml:space="preserve"> Coordinate or integrate our </w:t>
            </w:r>
            <w:r w:rsidR="00B835A0">
              <w:rPr>
                <w:rFonts w:ascii="Times New Roman" w:eastAsia="Times New Roman" w:hAnsi="Times New Roman" w:cs="Times New Roman"/>
                <w:sz w:val="24"/>
                <w:szCs w:val="24"/>
              </w:rPr>
              <w:t>technologic</w:t>
            </w:r>
            <w:r w:rsidR="00E118E4">
              <w:rPr>
                <w:rFonts w:ascii="Times New Roman" w:eastAsia="Times New Roman" w:hAnsi="Times New Roman" w:cs="Times New Roman"/>
                <w:sz w:val="24"/>
                <w:szCs w:val="24"/>
              </w:rPr>
              <w:t>al capabilities.</w:t>
            </w:r>
          </w:p>
          <w:p w:rsidR="00E118E4" w:rsidRDefault="00DC73C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0"/>
                <w:szCs w:val="20"/>
              </w:rPr>
              <w:t>ROC</w:t>
            </w:r>
            <w:r w:rsidR="00E118E4">
              <w:rPr>
                <w:rFonts w:ascii="Times New Roman" w:eastAsia="Times New Roman" w:hAnsi="Times New Roman" w:cs="Times New Roman"/>
                <w:b/>
                <w:sz w:val="24"/>
                <w:szCs w:val="24"/>
              </w:rPr>
              <w:t>9.</w:t>
            </w:r>
            <w:r w:rsidR="00E118E4">
              <w:rPr>
                <w:rFonts w:ascii="Times New Roman" w:eastAsia="Times New Roman" w:hAnsi="Times New Roman" w:cs="Times New Roman"/>
                <w:sz w:val="24"/>
                <w:szCs w:val="24"/>
              </w:rPr>
              <w:t xml:space="preserve"> deploy our joint </w:t>
            </w:r>
            <w:r w:rsidR="00B835A0">
              <w:rPr>
                <w:rFonts w:ascii="Times New Roman" w:eastAsia="Times New Roman" w:hAnsi="Times New Roman" w:cs="Times New Roman"/>
                <w:sz w:val="24"/>
                <w:szCs w:val="24"/>
              </w:rPr>
              <w:t>technological</w:t>
            </w:r>
            <w:r w:rsidR="00E118E4">
              <w:rPr>
                <w:rFonts w:ascii="Times New Roman" w:eastAsia="Times New Roman" w:hAnsi="Times New Roman" w:cs="Times New Roman"/>
                <w:sz w:val="24"/>
                <w:szCs w:val="24"/>
              </w:rPr>
              <w:t xml:space="preserve"> capabilities to take advantage of specific market opportunities</w:t>
            </w:r>
          </w:p>
        </w:tc>
        <w:tc>
          <w:tcPr>
            <w:tcW w:w="1821" w:type="dxa"/>
          </w:tcPr>
          <w:p w:rsidR="00E118E4" w:rsidRDefault="00E118E4" w:rsidP="00A02EA6">
            <w:pPr>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Kristoffersen</w:t>
            </w:r>
            <w:proofErr w:type="spellEnd"/>
            <w:r>
              <w:rPr>
                <w:rFonts w:ascii="Times New Roman" w:eastAsia="Times New Roman" w:hAnsi="Times New Roman" w:cs="Times New Roman"/>
                <w:sz w:val="24"/>
                <w:szCs w:val="24"/>
              </w:rPr>
              <w:t>, E. et al. (2021)</w:t>
            </w:r>
          </w:p>
        </w:tc>
      </w:tr>
      <w:tr w:rsidR="00E118E4" w:rsidTr="005E3B69">
        <w:tc>
          <w:tcPr>
            <w:tcW w:w="7195" w:type="dxa"/>
          </w:tcPr>
          <w:p w:rsidR="00E118E4" w:rsidRDefault="00E118E4" w:rsidP="00A02EA6">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Organisational Resilience</w:t>
            </w:r>
          </w:p>
          <w:p w:rsidR="00A02EA6" w:rsidRDefault="00A02EA6" w:rsidP="00A02EA6">
            <w:pPr>
              <w:spacing w:after="0" w:line="240" w:lineRule="auto"/>
              <w:rPr>
                <w:rFonts w:ascii="Times New Roman" w:eastAsia="Times New Roman" w:hAnsi="Times New Roman" w:cs="Times New Roman"/>
                <w:b/>
                <w:sz w:val="24"/>
                <w:szCs w:val="24"/>
              </w:rPr>
            </w:pPr>
          </w:p>
          <w:p w:rsidR="00E118E4" w:rsidRDefault="00E118E4"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Our Firm can…</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OR</w:t>
            </w:r>
            <w:r w:rsidR="00E118E4">
              <w:rPr>
                <w:rFonts w:ascii="Times New Roman" w:eastAsia="Times New Roman" w:hAnsi="Times New Roman" w:cs="Times New Roman"/>
                <w:b/>
                <w:sz w:val="24"/>
                <w:szCs w:val="24"/>
              </w:rPr>
              <w:t>1.</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cope</w:t>
            </w:r>
            <w:proofErr w:type="gramEnd"/>
            <w:r w:rsidR="00E118E4">
              <w:rPr>
                <w:rFonts w:ascii="Times New Roman" w:eastAsia="Times New Roman" w:hAnsi="Times New Roman" w:cs="Times New Roman"/>
                <w:sz w:val="24"/>
                <w:szCs w:val="24"/>
              </w:rPr>
              <w:t xml:space="preserve"> with the changes brought about by </w:t>
            </w:r>
            <w:r w:rsidR="00B835A0">
              <w:rPr>
                <w:rFonts w:ascii="Times New Roman" w:eastAsia="Times New Roman" w:hAnsi="Times New Roman" w:cs="Times New Roman"/>
                <w:sz w:val="24"/>
                <w:szCs w:val="24"/>
              </w:rPr>
              <w:t>environmental dynamism comprising technological turbulence</w:t>
            </w:r>
            <w:r w:rsidR="00E118E4">
              <w:rPr>
                <w:rFonts w:ascii="Times New Roman" w:eastAsia="Times New Roman" w:hAnsi="Times New Roman" w:cs="Times New Roman"/>
                <w:sz w:val="24"/>
                <w:szCs w:val="24"/>
              </w:rPr>
              <w:t>.</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OR</w:t>
            </w:r>
            <w:r w:rsidR="00E118E4">
              <w:rPr>
                <w:rFonts w:ascii="Times New Roman" w:eastAsia="Times New Roman" w:hAnsi="Times New Roman" w:cs="Times New Roman"/>
                <w:b/>
                <w:sz w:val="24"/>
                <w:szCs w:val="24"/>
              </w:rPr>
              <w:t>2.</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maintain</w:t>
            </w:r>
            <w:proofErr w:type="gramEnd"/>
            <w:r w:rsidR="00E118E4">
              <w:rPr>
                <w:rFonts w:ascii="Times New Roman" w:eastAsia="Times New Roman" w:hAnsi="Times New Roman" w:cs="Times New Roman"/>
                <w:sz w:val="24"/>
                <w:szCs w:val="24"/>
              </w:rPr>
              <w:t xml:space="preserve"> the effective operation of its core functions in the crisis using </w:t>
            </w:r>
            <w:r w:rsidR="00B835A0">
              <w:rPr>
                <w:rFonts w:ascii="Times New Roman" w:eastAsia="Times New Roman" w:hAnsi="Times New Roman" w:cs="Times New Roman"/>
                <w:sz w:val="24"/>
                <w:szCs w:val="24"/>
              </w:rPr>
              <w:t>resource orchestration mechanisms</w:t>
            </w:r>
            <w:r w:rsidR="00E118E4">
              <w:rPr>
                <w:rFonts w:ascii="Times New Roman" w:eastAsia="Times New Roman" w:hAnsi="Times New Roman" w:cs="Times New Roman"/>
                <w:sz w:val="24"/>
                <w:szCs w:val="24"/>
              </w:rPr>
              <w:t>.</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OR</w:t>
            </w:r>
            <w:r w:rsidR="00E118E4">
              <w:rPr>
                <w:rFonts w:ascii="Times New Roman" w:eastAsia="Times New Roman" w:hAnsi="Times New Roman" w:cs="Times New Roman"/>
                <w:b/>
                <w:sz w:val="24"/>
                <w:szCs w:val="24"/>
              </w:rPr>
              <w:t>3.</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quickly</w:t>
            </w:r>
            <w:proofErr w:type="gramEnd"/>
            <w:r w:rsidR="00E118E4">
              <w:rPr>
                <w:rFonts w:ascii="Times New Roman" w:eastAsia="Times New Roman" w:hAnsi="Times New Roman" w:cs="Times New Roman"/>
                <w:sz w:val="24"/>
                <w:szCs w:val="24"/>
              </w:rPr>
              <w:t xml:space="preserve"> respond to </w:t>
            </w:r>
            <w:r w:rsidR="00B835A0">
              <w:rPr>
                <w:rFonts w:ascii="Times New Roman" w:eastAsia="Times New Roman" w:hAnsi="Times New Roman" w:cs="Times New Roman"/>
                <w:sz w:val="24"/>
                <w:szCs w:val="24"/>
              </w:rPr>
              <w:t>technological</w:t>
            </w:r>
            <w:r w:rsidR="00E118E4">
              <w:rPr>
                <w:rFonts w:ascii="Times New Roman" w:eastAsia="Times New Roman" w:hAnsi="Times New Roman" w:cs="Times New Roman"/>
                <w:sz w:val="24"/>
                <w:szCs w:val="24"/>
              </w:rPr>
              <w:t xml:space="preserve"> turbulence and recover to the previous state.</w:t>
            </w:r>
          </w:p>
          <w:p w:rsidR="00E118E4" w:rsidRDefault="003C1E97" w:rsidP="00A02E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OR</w:t>
            </w:r>
            <w:r w:rsidR="00E118E4">
              <w:rPr>
                <w:rFonts w:ascii="Times New Roman" w:eastAsia="Times New Roman" w:hAnsi="Times New Roman" w:cs="Times New Roman"/>
                <w:b/>
                <w:sz w:val="24"/>
                <w:szCs w:val="24"/>
              </w:rPr>
              <w:t>4.</w:t>
            </w:r>
            <w:r w:rsidR="00E118E4">
              <w:rPr>
                <w:rFonts w:ascii="Times New Roman" w:eastAsia="Times New Roman" w:hAnsi="Times New Roman" w:cs="Times New Roman"/>
                <w:sz w:val="24"/>
                <w:szCs w:val="24"/>
              </w:rPr>
              <w:t xml:space="preserve"> </w:t>
            </w:r>
            <w:proofErr w:type="gramStart"/>
            <w:r w:rsidR="00E118E4">
              <w:rPr>
                <w:rFonts w:ascii="Times New Roman" w:eastAsia="Times New Roman" w:hAnsi="Times New Roman" w:cs="Times New Roman"/>
                <w:sz w:val="24"/>
                <w:szCs w:val="24"/>
              </w:rPr>
              <w:t>adapt</w:t>
            </w:r>
            <w:proofErr w:type="gramEnd"/>
            <w:r w:rsidR="00E118E4">
              <w:rPr>
                <w:rFonts w:ascii="Times New Roman" w:eastAsia="Times New Roman" w:hAnsi="Times New Roman" w:cs="Times New Roman"/>
                <w:sz w:val="24"/>
                <w:szCs w:val="24"/>
              </w:rPr>
              <w:t xml:space="preserve"> to pressure after the</w:t>
            </w:r>
            <w:r w:rsidR="00B835A0">
              <w:rPr>
                <w:rFonts w:ascii="Times New Roman" w:eastAsia="Times New Roman" w:hAnsi="Times New Roman" w:cs="Times New Roman"/>
                <w:sz w:val="24"/>
                <w:szCs w:val="24"/>
              </w:rPr>
              <w:t xml:space="preserve"> crisis and learn to grow by developing agility and ambidexterity</w:t>
            </w:r>
            <w:r w:rsidR="00E118E4">
              <w:rPr>
                <w:rFonts w:ascii="Times New Roman" w:eastAsia="Times New Roman" w:hAnsi="Times New Roman" w:cs="Times New Roman"/>
                <w:sz w:val="24"/>
                <w:szCs w:val="24"/>
              </w:rPr>
              <w:t>.</w:t>
            </w:r>
          </w:p>
          <w:p w:rsidR="00E118E4" w:rsidRPr="00E118E4" w:rsidRDefault="003C1E97" w:rsidP="00A02EA6">
            <w:pPr>
              <w:spacing w:after="0" w:line="240" w:lineRule="auto"/>
              <w:rPr>
                <w:rFonts w:ascii="Times New Roman" w:eastAsia="Times New Roman" w:hAnsi="Times New Roman" w:cs="Times New Roman"/>
                <w:strike/>
                <w:sz w:val="24"/>
                <w:szCs w:val="24"/>
              </w:rPr>
            </w:pPr>
            <w:r>
              <w:rPr>
                <w:rFonts w:ascii="Times New Roman" w:eastAsia="Times New Roman" w:hAnsi="Times New Roman" w:cs="Times New Roman"/>
                <w:strike/>
                <w:color w:val="FF0000"/>
                <w:sz w:val="24"/>
                <w:szCs w:val="24"/>
              </w:rPr>
              <w:t>OR</w:t>
            </w:r>
            <w:r w:rsidR="00E118E4" w:rsidRPr="00E118E4">
              <w:rPr>
                <w:rFonts w:ascii="Times New Roman" w:eastAsia="Times New Roman" w:hAnsi="Times New Roman" w:cs="Times New Roman"/>
                <w:strike/>
                <w:color w:val="FF0000"/>
                <w:sz w:val="24"/>
                <w:szCs w:val="24"/>
              </w:rPr>
              <w:t xml:space="preserve">5. Our Firm often maintains high </w:t>
            </w:r>
            <w:r w:rsidR="00B835A0">
              <w:rPr>
                <w:rFonts w:ascii="Times New Roman" w:eastAsia="Times New Roman" w:hAnsi="Times New Roman" w:cs="Times New Roman"/>
                <w:strike/>
                <w:color w:val="FF0000"/>
                <w:sz w:val="24"/>
                <w:szCs w:val="24"/>
              </w:rPr>
              <w:t>technological</w:t>
            </w:r>
            <w:r w:rsidR="00E118E4" w:rsidRPr="00E118E4">
              <w:rPr>
                <w:rFonts w:ascii="Times New Roman" w:eastAsia="Times New Roman" w:hAnsi="Times New Roman" w:cs="Times New Roman"/>
                <w:strike/>
                <w:color w:val="FF0000"/>
                <w:sz w:val="24"/>
                <w:szCs w:val="24"/>
              </w:rPr>
              <w:t xml:space="preserve"> awareness.</w:t>
            </w:r>
          </w:p>
        </w:tc>
        <w:tc>
          <w:tcPr>
            <w:tcW w:w="1821" w:type="dxa"/>
          </w:tcPr>
          <w:p w:rsidR="00E118E4" w:rsidRDefault="00E118E4" w:rsidP="00A02E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Shao, M. and An, L. (2024)</w:t>
            </w:r>
          </w:p>
        </w:tc>
      </w:tr>
    </w:tbl>
    <w:p w:rsidR="00E51D6B" w:rsidRPr="00027C9A" w:rsidRDefault="00027C9A" w:rsidP="00027C9A">
      <w:pPr>
        <w:pStyle w:val="NormalWeb"/>
        <w:jc w:val="both"/>
        <w:rPr>
          <w:u w:val="single"/>
        </w:rPr>
      </w:pPr>
      <w:r w:rsidRPr="00027C9A">
        <w:rPr>
          <w:color w:val="FF0000"/>
          <w:u w:val="single"/>
        </w:rPr>
        <w:t>*</w:t>
      </w:r>
      <w:r w:rsidR="00BA71DF" w:rsidRPr="00027C9A">
        <w:rPr>
          <w:color w:val="FF0000"/>
          <w:u w:val="single"/>
        </w:rPr>
        <w:t xml:space="preserve"> </w:t>
      </w:r>
      <w:r w:rsidRPr="00027C9A">
        <w:rPr>
          <w:color w:val="FF0000"/>
          <w:u w:val="single"/>
        </w:rPr>
        <w:t>Red Marked/Crossed items were removed from analysis due to no loading/mixed loading</w:t>
      </w:r>
      <w:r w:rsidR="00BA71DF" w:rsidRPr="00027C9A">
        <w:rPr>
          <w:color w:val="FF0000"/>
          <w:u w:val="single"/>
        </w:rPr>
        <w:t>.</w:t>
      </w:r>
    </w:p>
    <w:p w:rsidR="00486D70" w:rsidRDefault="00486D70" w:rsidP="00E26366">
      <w:pPr>
        <w:pStyle w:val="NormalWeb"/>
        <w:spacing w:line="480" w:lineRule="auto"/>
        <w:jc w:val="both"/>
      </w:pPr>
    </w:p>
    <w:p w:rsidR="002A064F" w:rsidRDefault="002A064F" w:rsidP="00E26366">
      <w:pPr>
        <w:pStyle w:val="NormalWeb"/>
        <w:spacing w:line="480" w:lineRule="auto"/>
        <w:jc w:val="both"/>
      </w:pPr>
    </w:p>
    <w:p w:rsidR="00AD3428" w:rsidRDefault="00AD3428" w:rsidP="00E26366">
      <w:pPr>
        <w:pStyle w:val="NormalWeb"/>
        <w:spacing w:line="480" w:lineRule="auto"/>
        <w:jc w:val="both"/>
      </w:pPr>
    </w:p>
    <w:p w:rsidR="00AD3428" w:rsidRDefault="00AD3428" w:rsidP="00E26366">
      <w:pPr>
        <w:pStyle w:val="NormalWeb"/>
        <w:spacing w:line="480" w:lineRule="auto"/>
        <w:jc w:val="both"/>
      </w:pPr>
    </w:p>
    <w:p w:rsidR="00AD3428" w:rsidRDefault="00AD3428" w:rsidP="00E26366">
      <w:pPr>
        <w:pStyle w:val="NormalWeb"/>
        <w:spacing w:line="480" w:lineRule="auto"/>
        <w:jc w:val="both"/>
      </w:pPr>
    </w:p>
    <w:p w:rsidR="00AD3428" w:rsidRDefault="00AD3428" w:rsidP="00E26366">
      <w:pPr>
        <w:pStyle w:val="NormalWeb"/>
        <w:spacing w:line="480" w:lineRule="auto"/>
        <w:jc w:val="both"/>
      </w:pPr>
    </w:p>
    <w:p w:rsidR="00AD3428" w:rsidRDefault="00AD3428" w:rsidP="00E26366">
      <w:pPr>
        <w:pStyle w:val="NormalWeb"/>
        <w:spacing w:line="480" w:lineRule="auto"/>
        <w:jc w:val="both"/>
      </w:pPr>
      <w:bookmarkStart w:id="0" w:name="_GoBack"/>
      <w:bookmarkEnd w:id="0"/>
    </w:p>
    <w:p w:rsidR="002A064F" w:rsidRPr="002A064F" w:rsidRDefault="002A064F" w:rsidP="002A064F">
      <w:pPr>
        <w:pStyle w:val="NormalWeb"/>
        <w:spacing w:line="480" w:lineRule="auto"/>
        <w:jc w:val="center"/>
        <w:rPr>
          <w:b/>
          <w:bCs/>
          <w:sz w:val="30"/>
          <w:szCs w:val="30"/>
          <w:u w:val="single"/>
        </w:rPr>
      </w:pPr>
      <w:r w:rsidRPr="002A064F">
        <w:rPr>
          <w:b/>
          <w:bCs/>
          <w:sz w:val="30"/>
          <w:szCs w:val="30"/>
          <w:u w:val="single"/>
        </w:rPr>
        <w:lastRenderedPageBreak/>
        <w:t>Figures and Tables</w:t>
      </w:r>
    </w:p>
    <w:p w:rsidR="00E26366" w:rsidRDefault="00E26366" w:rsidP="00E26366">
      <w:pPr>
        <w:pStyle w:val="NormalWeb"/>
        <w:spacing w:line="480" w:lineRule="auto"/>
        <w:rPr>
          <w:b/>
          <w:bCs/>
        </w:rPr>
      </w:pPr>
      <w:r>
        <w:rPr>
          <w:b/>
          <w:bCs/>
        </w:rPr>
        <w:t>Figure 1: Proposed Research Model</w:t>
      </w:r>
    </w:p>
    <w:p w:rsidR="00E26366" w:rsidRDefault="00AD3428" w:rsidP="00E26366">
      <w:pPr>
        <w:pStyle w:val="NormalWeb"/>
        <w:spacing w:line="480" w:lineRule="auto"/>
        <w:jc w:val="both"/>
      </w:pPr>
      <w:r>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8.65pt;height:136.45pt">
            <v:imagedata r:id="rId64" o:title="odr"/>
          </v:shape>
        </w:pict>
      </w:r>
    </w:p>
    <w:p w:rsidR="002A064F" w:rsidRPr="008878DD" w:rsidRDefault="002A064F" w:rsidP="002A064F">
      <w:pPr>
        <w:pStyle w:val="NormalWeb"/>
        <w:spacing w:line="480" w:lineRule="auto"/>
        <w:rPr>
          <w:b/>
          <w:bCs/>
        </w:rPr>
      </w:pPr>
      <w:r>
        <w:rPr>
          <w:b/>
          <w:bCs/>
        </w:rPr>
        <w:t xml:space="preserve">Figure 2: </w:t>
      </w:r>
      <w:r w:rsidRPr="008878DD">
        <w:rPr>
          <w:b/>
          <w:bCs/>
        </w:rPr>
        <w:t>Analysis results of research model</w:t>
      </w:r>
    </w:p>
    <w:p w:rsidR="00E26366" w:rsidRDefault="00BA50E8" w:rsidP="00E26366">
      <w:pPr>
        <w:pStyle w:val="NormalWeb"/>
        <w:spacing w:line="480" w:lineRule="auto"/>
        <w:jc w:val="both"/>
      </w:pPr>
      <w:r w:rsidRPr="00BA50E8">
        <w:rPr>
          <w:noProof/>
        </w:rPr>
        <w:drawing>
          <wp:inline distT="0" distB="0" distL="0" distR="0" wp14:anchorId="07547B9F" wp14:editId="4624A142">
            <wp:extent cx="5731510" cy="2971690"/>
            <wp:effectExtent l="0" t="0" r="254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5"/>
                    <a:stretch>
                      <a:fillRect/>
                    </a:stretch>
                  </pic:blipFill>
                  <pic:spPr>
                    <a:xfrm>
                      <a:off x="0" y="0"/>
                      <a:ext cx="5731510" cy="2971690"/>
                    </a:xfrm>
                    <a:prstGeom prst="rect">
                      <a:avLst/>
                    </a:prstGeom>
                  </pic:spPr>
                </pic:pic>
              </a:graphicData>
            </a:graphic>
          </wp:inline>
        </w:drawing>
      </w: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Pr="00A137E9" w:rsidRDefault="00E26366" w:rsidP="00E26366">
      <w:pPr>
        <w:spacing w:after="0" w:line="480" w:lineRule="auto"/>
        <w:jc w:val="both"/>
        <w:rPr>
          <w:rFonts w:ascii="Times New Roman" w:eastAsia="Times New Roman" w:hAnsi="Times New Roman" w:cs="Times New Roman"/>
          <w:b/>
          <w:sz w:val="24"/>
          <w:szCs w:val="24"/>
        </w:rPr>
      </w:pPr>
      <w:proofErr w:type="gramStart"/>
      <w:r w:rsidRPr="00A137E9">
        <w:rPr>
          <w:rFonts w:ascii="Times New Roman" w:eastAsia="Times New Roman" w:hAnsi="Times New Roman" w:cs="Times New Roman"/>
          <w:b/>
          <w:sz w:val="24"/>
          <w:szCs w:val="24"/>
        </w:rPr>
        <w:lastRenderedPageBreak/>
        <w:t>Table 1.</w:t>
      </w:r>
      <w:proofErr w:type="gramEnd"/>
      <w:r w:rsidRPr="00A137E9">
        <w:rPr>
          <w:rFonts w:ascii="Times New Roman" w:eastAsia="Times New Roman" w:hAnsi="Times New Roman" w:cs="Times New Roman"/>
          <w:b/>
          <w:sz w:val="24"/>
          <w:szCs w:val="24"/>
        </w:rPr>
        <w:t xml:space="preserve"> Organization representation in the sample</w:t>
      </w:r>
    </w:p>
    <w:p w:rsidR="00E26366" w:rsidRPr="001B2A37" w:rsidRDefault="00E26366" w:rsidP="00E26366">
      <w:pPr>
        <w:pStyle w:val="ListParagraph"/>
        <w:spacing w:after="0" w:line="480" w:lineRule="auto"/>
        <w:jc w:val="both"/>
        <w:rPr>
          <w:rFonts w:ascii="Times New Roman" w:eastAsia="Times New Roman" w:hAnsi="Times New Roman" w:cs="Times New Roman"/>
          <w:b/>
          <w:sz w:val="26"/>
          <w:szCs w:val="26"/>
        </w:rPr>
      </w:pPr>
    </w:p>
    <w:tbl>
      <w:tblPr>
        <w:tblW w:w="5115" w:type="dxa"/>
        <w:jc w:val="center"/>
        <w:tblLayout w:type="fixed"/>
        <w:tblLook w:val="0400" w:firstRow="0" w:lastRow="0" w:firstColumn="0" w:lastColumn="0" w:noHBand="0" w:noVBand="1"/>
      </w:tblPr>
      <w:tblGrid>
        <w:gridCol w:w="2685"/>
        <w:gridCol w:w="1080"/>
        <w:gridCol w:w="1350"/>
      </w:tblGrid>
      <w:tr w:rsidR="00E26366" w:rsidRPr="005E017F" w:rsidTr="00E26366">
        <w:trPr>
          <w:trHeight w:val="285"/>
          <w:jc w:val="center"/>
        </w:trPr>
        <w:tc>
          <w:tcPr>
            <w:tcW w:w="2685" w:type="dxa"/>
            <w:tcBorders>
              <w:top w:val="single" w:sz="12" w:space="0" w:color="000000"/>
              <w:left w:val="single" w:sz="12" w:space="0" w:color="000000"/>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Industry Sector</w:t>
            </w:r>
          </w:p>
        </w:tc>
        <w:tc>
          <w:tcPr>
            <w:tcW w:w="1080" w:type="dxa"/>
            <w:tcBorders>
              <w:top w:val="single" w:sz="12" w:space="0" w:color="000000"/>
              <w:left w:val="single" w:sz="6" w:space="0" w:color="CCCCCC"/>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Frequency</w:t>
            </w:r>
          </w:p>
        </w:tc>
        <w:tc>
          <w:tcPr>
            <w:tcW w:w="1350" w:type="dxa"/>
            <w:tcBorders>
              <w:top w:val="single" w:sz="12" w:space="0" w:color="000000"/>
              <w:left w:val="single" w:sz="6" w:space="0" w:color="CCCCCC"/>
              <w:bottom w:val="single" w:sz="12" w:space="0" w:color="000000"/>
              <w:right w:val="single" w:sz="12" w:space="0" w:color="000000"/>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Percentage</w:t>
            </w:r>
          </w:p>
        </w:tc>
      </w:tr>
      <w:tr w:rsidR="00E26366" w:rsidRPr="005E017F" w:rsidTr="00E26366">
        <w:trPr>
          <w:trHeight w:val="285"/>
          <w:jc w:val="center"/>
        </w:trPr>
        <w:tc>
          <w:tcPr>
            <w:tcW w:w="2685" w:type="dxa"/>
            <w:tcBorders>
              <w:top w:val="single" w:sz="12" w:space="0" w:color="000000"/>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Education</w:t>
            </w:r>
          </w:p>
        </w:tc>
        <w:tc>
          <w:tcPr>
            <w:tcW w:w="1080" w:type="dxa"/>
            <w:tcBorders>
              <w:top w:val="single" w:sz="12" w:space="0" w:color="000000"/>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15</w:t>
            </w:r>
          </w:p>
        </w:tc>
        <w:tc>
          <w:tcPr>
            <w:tcW w:w="1350" w:type="dxa"/>
            <w:tcBorders>
              <w:top w:val="single" w:sz="12" w:space="0" w:color="000000"/>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4.82</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Energy Sector</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26</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8.36</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Finance</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44</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14.15</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Food &amp; Beverage</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37</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11.90</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Government</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19</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6.11</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Healthcare</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13</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4.18</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HR and other Services</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21</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6.75</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Manufacturing</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43</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13.83</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Others</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10</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3.22</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Retail &amp; e-commerce</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16</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5.14</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Telecom &amp; IT</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52</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16.72</w:t>
            </w:r>
          </w:p>
        </w:tc>
      </w:tr>
      <w:tr w:rsidR="00E26366" w:rsidRPr="005E017F" w:rsidTr="00E26366">
        <w:trPr>
          <w:trHeight w:val="285"/>
          <w:jc w:val="center"/>
        </w:trPr>
        <w:tc>
          <w:tcPr>
            <w:tcW w:w="2685" w:type="dxa"/>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Transportation</w:t>
            </w:r>
          </w:p>
        </w:tc>
        <w:tc>
          <w:tcPr>
            <w:tcW w:w="1080"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15</w:t>
            </w:r>
          </w:p>
        </w:tc>
        <w:tc>
          <w:tcPr>
            <w:tcW w:w="1350" w:type="dxa"/>
            <w:tcBorders>
              <w:top w:val="single" w:sz="6" w:space="0" w:color="CCCCCC"/>
              <w:left w:val="single" w:sz="6" w:space="0" w:color="CCCCCC"/>
              <w:bottom w:val="single" w:sz="12" w:space="0" w:color="000000"/>
              <w:right w:val="single" w:sz="12" w:space="0" w:color="000000"/>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4.82</w:t>
            </w:r>
          </w:p>
        </w:tc>
      </w:tr>
      <w:tr w:rsidR="00E26366" w:rsidRPr="005E017F" w:rsidTr="00E26366">
        <w:trPr>
          <w:trHeight w:val="285"/>
          <w:jc w:val="center"/>
        </w:trPr>
        <w:tc>
          <w:tcPr>
            <w:tcW w:w="5115" w:type="dxa"/>
            <w:gridSpan w:val="3"/>
            <w:tcBorders>
              <w:top w:val="single" w:sz="12" w:space="0" w:color="000000"/>
              <w:left w:val="single" w:sz="12" w:space="0" w:color="000000"/>
              <w:bottom w:val="single" w:sz="12" w:space="0" w:color="000000"/>
              <w:right w:val="single" w:sz="12" w:space="0" w:color="000000"/>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Organization Type</w:t>
            </w:r>
          </w:p>
        </w:tc>
      </w:tr>
      <w:tr w:rsidR="00E26366" w:rsidRPr="005E017F" w:rsidTr="00E26366">
        <w:trPr>
          <w:trHeight w:val="285"/>
          <w:jc w:val="center"/>
        </w:trPr>
        <w:tc>
          <w:tcPr>
            <w:tcW w:w="2685" w:type="dxa"/>
            <w:tcBorders>
              <w:top w:val="single" w:sz="12" w:space="0" w:color="000000"/>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Public Sector Firm</w:t>
            </w:r>
          </w:p>
        </w:tc>
        <w:tc>
          <w:tcPr>
            <w:tcW w:w="1080" w:type="dxa"/>
            <w:tcBorders>
              <w:top w:val="single" w:sz="12" w:space="0" w:color="000000"/>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79</w:t>
            </w:r>
          </w:p>
        </w:tc>
        <w:tc>
          <w:tcPr>
            <w:tcW w:w="1350" w:type="dxa"/>
            <w:tcBorders>
              <w:top w:val="single" w:sz="12" w:space="0" w:color="000000"/>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25.40</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Private Firm</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50E8" w:rsidP="002A064F">
            <w:pPr>
              <w:spacing w:after="0" w:line="240" w:lineRule="auto"/>
              <w:jc w:val="right"/>
              <w:rPr>
                <w:rFonts w:ascii="Calibri" w:eastAsia="Calibri" w:hAnsi="Calibri" w:cs="Calibri"/>
              </w:rPr>
            </w:pPr>
            <w:r>
              <w:rPr>
                <w:rFonts w:ascii="Calibri" w:eastAsia="Calibri" w:hAnsi="Calibri" w:cs="Calibri"/>
              </w:rPr>
              <w:t>168</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54.02</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Wholly foreign-owned firm</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27</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8.68</w:t>
            </w:r>
          </w:p>
        </w:tc>
      </w:tr>
      <w:tr w:rsidR="00E26366" w:rsidRPr="005E017F" w:rsidTr="00E26366">
        <w:trPr>
          <w:trHeight w:val="285"/>
          <w:jc w:val="center"/>
        </w:trPr>
        <w:tc>
          <w:tcPr>
            <w:tcW w:w="2685" w:type="dxa"/>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Others</w:t>
            </w:r>
          </w:p>
        </w:tc>
        <w:tc>
          <w:tcPr>
            <w:tcW w:w="1080"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37</w:t>
            </w:r>
          </w:p>
        </w:tc>
        <w:tc>
          <w:tcPr>
            <w:tcW w:w="1350" w:type="dxa"/>
            <w:tcBorders>
              <w:top w:val="single" w:sz="6" w:space="0" w:color="CCCCCC"/>
              <w:left w:val="single" w:sz="6" w:space="0" w:color="CCCCCC"/>
              <w:bottom w:val="single" w:sz="12" w:space="0" w:color="000000"/>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11.90</w:t>
            </w:r>
          </w:p>
        </w:tc>
      </w:tr>
      <w:tr w:rsidR="00E26366" w:rsidRPr="005E017F" w:rsidTr="00E26366">
        <w:trPr>
          <w:trHeight w:val="285"/>
          <w:jc w:val="center"/>
        </w:trPr>
        <w:tc>
          <w:tcPr>
            <w:tcW w:w="5115" w:type="dxa"/>
            <w:gridSpan w:val="3"/>
            <w:tcBorders>
              <w:top w:val="single" w:sz="12" w:space="0" w:color="000000"/>
              <w:left w:val="single" w:sz="12" w:space="0" w:color="000000"/>
              <w:bottom w:val="single" w:sz="12" w:space="0" w:color="000000"/>
              <w:right w:val="single" w:sz="12" w:space="0" w:color="000000"/>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b/>
              </w:rPr>
              <w:t>Size of Organisation</w:t>
            </w:r>
          </w:p>
        </w:tc>
      </w:tr>
      <w:tr w:rsidR="00E26366" w:rsidRPr="005E017F" w:rsidTr="00E26366">
        <w:trPr>
          <w:trHeight w:val="285"/>
          <w:jc w:val="center"/>
        </w:trPr>
        <w:tc>
          <w:tcPr>
            <w:tcW w:w="2685" w:type="dxa"/>
            <w:tcBorders>
              <w:top w:val="single" w:sz="12" w:space="0" w:color="000000"/>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rPr>
              <w:t>100 people or less</w:t>
            </w:r>
          </w:p>
        </w:tc>
        <w:tc>
          <w:tcPr>
            <w:tcW w:w="1080" w:type="dxa"/>
            <w:tcBorders>
              <w:top w:val="single" w:sz="12" w:space="0" w:color="000000"/>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48</w:t>
            </w:r>
          </w:p>
        </w:tc>
        <w:tc>
          <w:tcPr>
            <w:tcW w:w="1350" w:type="dxa"/>
            <w:tcBorders>
              <w:top w:val="single" w:sz="12" w:space="0" w:color="000000"/>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15.43</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101-500 people</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43</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13.83</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501-1000 people</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64</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20.58</w:t>
            </w:r>
          </w:p>
        </w:tc>
      </w:tr>
      <w:tr w:rsidR="00E26366" w:rsidRPr="005E017F" w:rsidTr="00E26366">
        <w:trPr>
          <w:trHeight w:val="285"/>
          <w:jc w:val="center"/>
        </w:trPr>
        <w:tc>
          <w:tcPr>
            <w:tcW w:w="2685" w:type="dxa"/>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1001 people and above</w:t>
            </w:r>
          </w:p>
        </w:tc>
        <w:tc>
          <w:tcPr>
            <w:tcW w:w="1080"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156</w:t>
            </w:r>
          </w:p>
        </w:tc>
        <w:tc>
          <w:tcPr>
            <w:tcW w:w="1350" w:type="dxa"/>
            <w:tcBorders>
              <w:top w:val="single" w:sz="6" w:space="0" w:color="CCCCCC"/>
              <w:left w:val="single" w:sz="6" w:space="0" w:color="CCCCCC"/>
              <w:bottom w:val="single" w:sz="12" w:space="0" w:color="000000"/>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50.16</w:t>
            </w:r>
          </w:p>
        </w:tc>
      </w:tr>
    </w:tbl>
    <w:p w:rsidR="00E26366" w:rsidRDefault="00E26366" w:rsidP="00E26366">
      <w:pPr>
        <w:spacing w:after="0" w:line="480" w:lineRule="auto"/>
        <w:jc w:val="both"/>
        <w:rPr>
          <w:rFonts w:ascii="Times New Roman" w:eastAsia="Times New Roman" w:hAnsi="Times New Roman" w:cs="Times New Roman"/>
          <w:b/>
          <w:sz w:val="26"/>
          <w:szCs w:val="26"/>
        </w:rPr>
      </w:pPr>
    </w:p>
    <w:p w:rsidR="00E26366" w:rsidRPr="00A137E9" w:rsidRDefault="00E26366" w:rsidP="00E26366">
      <w:pPr>
        <w:spacing w:after="0" w:line="480" w:lineRule="auto"/>
        <w:jc w:val="both"/>
        <w:rPr>
          <w:rFonts w:ascii="Times New Roman" w:eastAsia="Times New Roman" w:hAnsi="Times New Roman" w:cs="Times New Roman"/>
          <w:b/>
          <w:sz w:val="26"/>
          <w:szCs w:val="26"/>
        </w:rPr>
      </w:pPr>
      <w:proofErr w:type="gramStart"/>
      <w:r w:rsidRPr="00A137E9">
        <w:rPr>
          <w:rFonts w:ascii="Times New Roman" w:eastAsia="Times New Roman" w:hAnsi="Times New Roman" w:cs="Times New Roman"/>
          <w:b/>
          <w:sz w:val="26"/>
          <w:szCs w:val="26"/>
        </w:rPr>
        <w:t>Table 2.</w:t>
      </w:r>
      <w:proofErr w:type="gramEnd"/>
      <w:r w:rsidRPr="00A137E9">
        <w:rPr>
          <w:rFonts w:ascii="Times New Roman" w:eastAsia="Times New Roman" w:hAnsi="Times New Roman" w:cs="Times New Roman"/>
          <w:b/>
          <w:sz w:val="26"/>
          <w:szCs w:val="26"/>
        </w:rPr>
        <w:t xml:space="preserve"> Respondent description</w:t>
      </w:r>
    </w:p>
    <w:tbl>
      <w:tblPr>
        <w:tblW w:w="5115" w:type="dxa"/>
        <w:jc w:val="center"/>
        <w:tblLayout w:type="fixed"/>
        <w:tblLook w:val="0400" w:firstRow="0" w:lastRow="0" w:firstColumn="0" w:lastColumn="0" w:noHBand="0" w:noVBand="1"/>
      </w:tblPr>
      <w:tblGrid>
        <w:gridCol w:w="2685"/>
        <w:gridCol w:w="1080"/>
        <w:gridCol w:w="1350"/>
      </w:tblGrid>
      <w:tr w:rsidR="00E26366" w:rsidRPr="005E017F" w:rsidTr="00E26366">
        <w:trPr>
          <w:trHeight w:val="285"/>
          <w:jc w:val="center"/>
        </w:trPr>
        <w:tc>
          <w:tcPr>
            <w:tcW w:w="2685" w:type="dxa"/>
            <w:tcBorders>
              <w:top w:val="single" w:sz="12" w:space="0" w:color="000000"/>
              <w:left w:val="single" w:sz="12" w:space="0" w:color="000000"/>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Designation</w:t>
            </w:r>
          </w:p>
        </w:tc>
        <w:tc>
          <w:tcPr>
            <w:tcW w:w="1080" w:type="dxa"/>
            <w:tcBorders>
              <w:top w:val="single" w:sz="12" w:space="0" w:color="000000"/>
              <w:left w:val="single" w:sz="6" w:space="0" w:color="CCCCCC"/>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Frequency</w:t>
            </w:r>
          </w:p>
        </w:tc>
        <w:tc>
          <w:tcPr>
            <w:tcW w:w="1350" w:type="dxa"/>
            <w:tcBorders>
              <w:top w:val="single" w:sz="12" w:space="0" w:color="000000"/>
              <w:left w:val="single" w:sz="6" w:space="0" w:color="CCCCCC"/>
              <w:bottom w:val="single" w:sz="12" w:space="0" w:color="000000"/>
              <w:right w:val="single" w:sz="12" w:space="0" w:color="000000"/>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Percentage</w:t>
            </w:r>
          </w:p>
        </w:tc>
      </w:tr>
      <w:tr w:rsidR="00E26366" w:rsidRPr="005E017F" w:rsidTr="00E26366">
        <w:trPr>
          <w:trHeight w:val="285"/>
          <w:jc w:val="center"/>
        </w:trPr>
        <w:tc>
          <w:tcPr>
            <w:tcW w:w="2685" w:type="dxa"/>
            <w:tcBorders>
              <w:top w:val="single" w:sz="12" w:space="0" w:color="000000"/>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Junior Manager</w:t>
            </w:r>
          </w:p>
        </w:tc>
        <w:tc>
          <w:tcPr>
            <w:tcW w:w="1080" w:type="dxa"/>
            <w:tcBorders>
              <w:top w:val="single" w:sz="12" w:space="0" w:color="000000"/>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93</w:t>
            </w:r>
          </w:p>
        </w:tc>
        <w:tc>
          <w:tcPr>
            <w:tcW w:w="1350" w:type="dxa"/>
            <w:tcBorders>
              <w:top w:val="single" w:sz="12" w:space="0" w:color="000000"/>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29.90</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pPr>
            <w:r w:rsidRPr="005E017F">
              <w:rPr>
                <w:rFonts w:ascii="Calibri" w:eastAsia="Calibri" w:hAnsi="Calibri" w:cs="Calibri"/>
              </w:rPr>
              <w:t>Middle Manager</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98</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31.51</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Senior Manager</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120</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38.59</w:t>
            </w:r>
          </w:p>
        </w:tc>
      </w:tr>
      <w:tr w:rsidR="00E26366" w:rsidRPr="005E017F" w:rsidTr="00E26366">
        <w:trPr>
          <w:trHeight w:val="285"/>
          <w:jc w:val="center"/>
        </w:trPr>
        <w:tc>
          <w:tcPr>
            <w:tcW w:w="5115" w:type="dxa"/>
            <w:gridSpan w:val="3"/>
            <w:tcBorders>
              <w:top w:val="single" w:sz="12" w:space="0" w:color="000000"/>
              <w:left w:val="single" w:sz="12" w:space="0" w:color="000000"/>
              <w:bottom w:val="single" w:sz="12" w:space="0" w:color="000000"/>
              <w:right w:val="single" w:sz="12" w:space="0" w:color="000000"/>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b/>
              </w:rPr>
            </w:pPr>
            <w:r w:rsidRPr="005E017F">
              <w:rPr>
                <w:rFonts w:ascii="Calibri" w:eastAsia="Calibri" w:hAnsi="Calibri" w:cs="Calibri"/>
                <w:b/>
              </w:rPr>
              <w:t>Experience</w:t>
            </w:r>
          </w:p>
        </w:tc>
      </w:tr>
      <w:tr w:rsidR="00E26366" w:rsidRPr="005E017F" w:rsidTr="00E26366">
        <w:trPr>
          <w:trHeight w:val="285"/>
          <w:jc w:val="center"/>
        </w:trPr>
        <w:tc>
          <w:tcPr>
            <w:tcW w:w="2685" w:type="dxa"/>
            <w:tcBorders>
              <w:top w:val="single" w:sz="12" w:space="0" w:color="000000"/>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Less than 1 Year</w:t>
            </w:r>
          </w:p>
        </w:tc>
        <w:tc>
          <w:tcPr>
            <w:tcW w:w="1080" w:type="dxa"/>
            <w:tcBorders>
              <w:top w:val="single" w:sz="12" w:space="0" w:color="000000"/>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21</w:t>
            </w:r>
          </w:p>
        </w:tc>
        <w:tc>
          <w:tcPr>
            <w:tcW w:w="1350" w:type="dxa"/>
            <w:tcBorders>
              <w:top w:val="single" w:sz="12" w:space="0" w:color="000000"/>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6.75</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1 – 2 Years</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57</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18.33</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3 – 5 Years</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56</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18.01</w:t>
            </w:r>
          </w:p>
        </w:tc>
      </w:tr>
      <w:tr w:rsidR="00E26366" w:rsidRPr="005E017F" w:rsidTr="00E26366">
        <w:trPr>
          <w:trHeight w:val="285"/>
          <w:jc w:val="center"/>
        </w:trPr>
        <w:tc>
          <w:tcPr>
            <w:tcW w:w="2685" w:type="dxa"/>
            <w:tcBorders>
              <w:top w:val="single" w:sz="6" w:space="0" w:color="CCCCCC"/>
              <w:left w:val="single" w:sz="12" w:space="0" w:color="000000"/>
              <w:bottom w:val="single" w:sz="6" w:space="0" w:color="CCCCCC"/>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6 – 10 Years</w:t>
            </w:r>
          </w:p>
        </w:tc>
        <w:tc>
          <w:tcPr>
            <w:tcW w:w="1080" w:type="dxa"/>
            <w:tcBorders>
              <w:top w:val="single" w:sz="6" w:space="0" w:color="CCCCCC"/>
              <w:left w:val="single" w:sz="6" w:space="0" w:color="CCCCCC"/>
              <w:bottom w:val="single" w:sz="6" w:space="0" w:color="CCCCCC"/>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64</w:t>
            </w:r>
          </w:p>
        </w:tc>
        <w:tc>
          <w:tcPr>
            <w:tcW w:w="1350" w:type="dxa"/>
            <w:tcBorders>
              <w:top w:val="single" w:sz="6" w:space="0" w:color="CCCCCC"/>
              <w:left w:val="single" w:sz="6" w:space="0" w:color="CCCCCC"/>
              <w:bottom w:val="single" w:sz="6" w:space="0" w:color="CCCCCC"/>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20.58</w:t>
            </w:r>
          </w:p>
        </w:tc>
      </w:tr>
      <w:tr w:rsidR="00E26366" w:rsidRPr="005E017F" w:rsidTr="00E26366">
        <w:trPr>
          <w:trHeight w:val="285"/>
          <w:jc w:val="center"/>
        </w:trPr>
        <w:tc>
          <w:tcPr>
            <w:tcW w:w="2685" w:type="dxa"/>
            <w:tcBorders>
              <w:top w:val="single" w:sz="6" w:space="0" w:color="CCCCCC"/>
              <w:left w:val="single" w:sz="12" w:space="0" w:color="000000"/>
              <w:bottom w:val="single" w:sz="12" w:space="0" w:color="000000"/>
              <w:right w:val="single" w:sz="6" w:space="0" w:color="CCCCCC"/>
            </w:tcBorders>
            <w:tcMar>
              <w:top w:w="0" w:type="dxa"/>
              <w:left w:w="45" w:type="dxa"/>
              <w:bottom w:w="0" w:type="dxa"/>
              <w:right w:w="45" w:type="dxa"/>
            </w:tcMar>
            <w:vAlign w:val="bottom"/>
          </w:tcPr>
          <w:p w:rsidR="00E26366" w:rsidRPr="005E017F" w:rsidRDefault="00E26366" w:rsidP="002A064F">
            <w:pPr>
              <w:spacing w:after="0" w:line="240" w:lineRule="auto"/>
              <w:rPr>
                <w:rFonts w:ascii="Calibri" w:eastAsia="Calibri" w:hAnsi="Calibri" w:cs="Calibri"/>
              </w:rPr>
            </w:pPr>
            <w:r w:rsidRPr="005E017F">
              <w:rPr>
                <w:rFonts w:ascii="Calibri" w:eastAsia="Calibri" w:hAnsi="Calibri" w:cs="Calibri"/>
              </w:rPr>
              <w:t>11 Years and above</w:t>
            </w:r>
          </w:p>
        </w:tc>
        <w:tc>
          <w:tcPr>
            <w:tcW w:w="1080" w:type="dxa"/>
            <w:tcBorders>
              <w:top w:val="single" w:sz="6" w:space="0" w:color="CCCCCC"/>
              <w:left w:val="single" w:sz="6" w:space="0" w:color="CCCCCC"/>
              <w:bottom w:val="single" w:sz="12" w:space="0" w:color="000000"/>
              <w:right w:val="single" w:sz="6" w:space="0" w:color="CCCCCC"/>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113</w:t>
            </w:r>
          </w:p>
        </w:tc>
        <w:tc>
          <w:tcPr>
            <w:tcW w:w="1350" w:type="dxa"/>
            <w:tcBorders>
              <w:top w:val="single" w:sz="6" w:space="0" w:color="CCCCCC"/>
              <w:left w:val="single" w:sz="6" w:space="0" w:color="CCCCCC"/>
              <w:bottom w:val="single" w:sz="12" w:space="0" w:color="000000"/>
              <w:right w:val="single" w:sz="12" w:space="0" w:color="000000"/>
            </w:tcBorders>
            <w:tcMar>
              <w:top w:w="0" w:type="dxa"/>
              <w:left w:w="45" w:type="dxa"/>
              <w:bottom w:w="0" w:type="dxa"/>
              <w:right w:w="45" w:type="dxa"/>
            </w:tcMar>
            <w:vAlign w:val="bottom"/>
          </w:tcPr>
          <w:p w:rsidR="00E26366" w:rsidRPr="005E017F" w:rsidRDefault="00BA71DF" w:rsidP="002A064F">
            <w:pPr>
              <w:spacing w:after="0" w:line="240" w:lineRule="auto"/>
              <w:jc w:val="right"/>
              <w:rPr>
                <w:rFonts w:ascii="Calibri" w:eastAsia="Calibri" w:hAnsi="Calibri" w:cs="Calibri"/>
              </w:rPr>
            </w:pPr>
            <w:r>
              <w:rPr>
                <w:rFonts w:ascii="Calibri" w:eastAsia="Calibri" w:hAnsi="Calibri" w:cs="Calibri"/>
              </w:rPr>
              <w:t>36.33</w:t>
            </w:r>
          </w:p>
        </w:tc>
      </w:tr>
    </w:tbl>
    <w:p w:rsidR="002A064F" w:rsidRDefault="002A064F" w:rsidP="002A064F">
      <w:pPr>
        <w:spacing w:after="0" w:line="480" w:lineRule="auto"/>
        <w:jc w:val="both"/>
        <w:rPr>
          <w:rFonts w:ascii="Times New Roman" w:eastAsia="Times New Roman" w:hAnsi="Times New Roman" w:cs="Times New Roman"/>
          <w:b/>
          <w:sz w:val="26"/>
          <w:szCs w:val="26"/>
        </w:rPr>
      </w:pPr>
    </w:p>
    <w:p w:rsidR="002A064F" w:rsidRDefault="002A064F" w:rsidP="002A064F">
      <w:pPr>
        <w:spacing w:after="0" w:line="480" w:lineRule="auto"/>
        <w:jc w:val="both"/>
        <w:rPr>
          <w:rFonts w:ascii="Times New Roman" w:eastAsia="Times New Roman" w:hAnsi="Times New Roman" w:cs="Times New Roman"/>
          <w:b/>
          <w:sz w:val="26"/>
          <w:szCs w:val="26"/>
        </w:rPr>
      </w:pPr>
    </w:p>
    <w:p w:rsidR="002A064F" w:rsidRDefault="002A064F" w:rsidP="002A064F">
      <w:pPr>
        <w:spacing w:after="0" w:line="480" w:lineRule="auto"/>
        <w:jc w:val="both"/>
        <w:rPr>
          <w:rFonts w:ascii="Times New Roman" w:eastAsia="Times New Roman" w:hAnsi="Times New Roman" w:cs="Times New Roman"/>
          <w:b/>
          <w:sz w:val="26"/>
          <w:szCs w:val="26"/>
        </w:rPr>
      </w:pPr>
    </w:p>
    <w:p w:rsidR="002A064F" w:rsidRPr="00A137E9" w:rsidRDefault="002A064F" w:rsidP="002A064F">
      <w:pPr>
        <w:spacing w:after="0" w:line="480" w:lineRule="auto"/>
        <w:jc w:val="both"/>
        <w:rPr>
          <w:rFonts w:ascii="Times New Roman" w:eastAsia="Times New Roman" w:hAnsi="Times New Roman" w:cs="Times New Roman"/>
          <w:b/>
          <w:sz w:val="26"/>
          <w:szCs w:val="26"/>
        </w:rPr>
      </w:pPr>
      <w:proofErr w:type="gramStart"/>
      <w:r w:rsidRPr="00A137E9">
        <w:rPr>
          <w:rFonts w:ascii="Times New Roman" w:eastAsia="Times New Roman" w:hAnsi="Times New Roman" w:cs="Times New Roman"/>
          <w:b/>
          <w:sz w:val="26"/>
          <w:szCs w:val="26"/>
        </w:rPr>
        <w:lastRenderedPageBreak/>
        <w:t>Table 3.</w:t>
      </w:r>
      <w:proofErr w:type="gramEnd"/>
      <w:r w:rsidRPr="00A137E9">
        <w:rPr>
          <w:rFonts w:ascii="Times New Roman" w:eastAsia="Times New Roman" w:hAnsi="Times New Roman" w:cs="Times New Roman"/>
          <w:b/>
          <w:sz w:val="26"/>
          <w:szCs w:val="26"/>
        </w:rPr>
        <w:t xml:space="preserve"> Assessment of discriminant validity</w:t>
      </w:r>
    </w:p>
    <w:tbl>
      <w:tblPr>
        <w:tblW w:w="8895" w:type="dxa"/>
        <w:jc w:val="right"/>
        <w:tblLayout w:type="fixed"/>
        <w:tblLook w:val="0400" w:firstRow="0" w:lastRow="0" w:firstColumn="0" w:lastColumn="0" w:noHBand="0" w:noVBand="1"/>
      </w:tblPr>
      <w:tblGrid>
        <w:gridCol w:w="1485"/>
        <w:gridCol w:w="1395"/>
        <w:gridCol w:w="825"/>
        <w:gridCol w:w="705"/>
        <w:gridCol w:w="915"/>
        <w:gridCol w:w="915"/>
        <w:gridCol w:w="930"/>
        <w:gridCol w:w="930"/>
        <w:gridCol w:w="795"/>
      </w:tblGrid>
      <w:tr w:rsidR="002A064F" w:rsidRPr="005E017F" w:rsidTr="009338FD">
        <w:trPr>
          <w:jc w:val="right"/>
        </w:trPr>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b/>
                <w:sz w:val="20"/>
                <w:szCs w:val="20"/>
              </w:rPr>
              <w:t>Variables</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b/>
                <w:sz w:val="20"/>
                <w:szCs w:val="20"/>
              </w:rPr>
              <w:t>Composite Reliability</w:t>
            </w:r>
          </w:p>
        </w:tc>
        <w:tc>
          <w:tcPr>
            <w:tcW w:w="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b/>
                <w:sz w:val="20"/>
                <w:szCs w:val="20"/>
              </w:rPr>
              <w:t>Mean</w:t>
            </w: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b/>
                <w:sz w:val="20"/>
                <w:szCs w:val="20"/>
              </w:rPr>
              <w:t>SD</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ENVD</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AD</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AG</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DC73C4"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ROC</w:t>
            </w:r>
          </w:p>
        </w:tc>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OR</w:t>
            </w:r>
          </w:p>
        </w:tc>
      </w:tr>
      <w:tr w:rsidR="002A064F" w:rsidRPr="005E017F" w:rsidTr="009338FD">
        <w:trPr>
          <w:jc w:val="right"/>
        </w:trPr>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ENVD</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jc w:val="center"/>
              <w:rPr>
                <w:rFonts w:ascii="Times New Roman" w:eastAsia="Times New Roman" w:hAnsi="Times New Roman" w:cs="Times New Roman"/>
                <w:sz w:val="20"/>
                <w:szCs w:val="20"/>
              </w:rPr>
            </w:pPr>
            <w:r w:rsidRPr="005E017F">
              <w:rPr>
                <w:rFonts w:ascii="Arial" w:eastAsia="Arial" w:hAnsi="Arial" w:cs="Arial"/>
                <w:b/>
                <w:sz w:val="20"/>
                <w:szCs w:val="20"/>
              </w:rPr>
              <w:t>0.894</w:t>
            </w:r>
          </w:p>
        </w:tc>
        <w:tc>
          <w:tcPr>
            <w:tcW w:w="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4.18</w:t>
            </w: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0.83</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i/>
                <w:sz w:val="20"/>
                <w:szCs w:val="20"/>
              </w:rPr>
            </w:pPr>
            <w:r w:rsidRPr="005E017F">
              <w:rPr>
                <w:rFonts w:ascii="Arial" w:eastAsia="Arial" w:hAnsi="Arial" w:cs="Arial"/>
                <w:b/>
                <w:i/>
                <w:sz w:val="20"/>
                <w:szCs w:val="20"/>
              </w:rPr>
              <w:t>0.824</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r>
      <w:tr w:rsidR="002A064F" w:rsidRPr="005E017F" w:rsidTr="009338FD">
        <w:trPr>
          <w:jc w:val="right"/>
        </w:trPr>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AD</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jc w:val="center"/>
              <w:rPr>
                <w:rFonts w:ascii="Times New Roman" w:eastAsia="Times New Roman" w:hAnsi="Times New Roman" w:cs="Times New Roman"/>
                <w:sz w:val="20"/>
                <w:szCs w:val="20"/>
              </w:rPr>
            </w:pPr>
            <w:r w:rsidRPr="005E017F">
              <w:rPr>
                <w:rFonts w:ascii="Arial" w:eastAsia="Arial" w:hAnsi="Arial" w:cs="Arial"/>
                <w:b/>
                <w:sz w:val="20"/>
                <w:szCs w:val="20"/>
              </w:rPr>
              <w:t>0.951</w:t>
            </w:r>
          </w:p>
        </w:tc>
        <w:tc>
          <w:tcPr>
            <w:tcW w:w="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3.99</w:t>
            </w: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0.77</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0.501**</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i/>
                <w:sz w:val="20"/>
                <w:szCs w:val="20"/>
              </w:rPr>
            </w:pPr>
            <w:r w:rsidRPr="005E017F">
              <w:rPr>
                <w:rFonts w:ascii="Arial" w:eastAsia="Arial" w:hAnsi="Arial" w:cs="Arial"/>
                <w:b/>
                <w:i/>
                <w:sz w:val="20"/>
                <w:szCs w:val="20"/>
              </w:rPr>
              <w:t>0.842</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r>
      <w:tr w:rsidR="002A064F" w:rsidRPr="005E017F" w:rsidTr="009338FD">
        <w:trPr>
          <w:jc w:val="right"/>
        </w:trPr>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AG</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jc w:val="center"/>
              <w:rPr>
                <w:rFonts w:ascii="Times New Roman" w:eastAsia="Times New Roman" w:hAnsi="Times New Roman" w:cs="Times New Roman"/>
                <w:sz w:val="20"/>
                <w:szCs w:val="20"/>
              </w:rPr>
            </w:pPr>
            <w:r w:rsidRPr="005E017F">
              <w:rPr>
                <w:rFonts w:ascii="Arial" w:eastAsia="Arial" w:hAnsi="Arial" w:cs="Arial"/>
                <w:b/>
                <w:sz w:val="20"/>
                <w:szCs w:val="20"/>
              </w:rPr>
              <w:t>0.896</w:t>
            </w:r>
          </w:p>
        </w:tc>
        <w:tc>
          <w:tcPr>
            <w:tcW w:w="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3.66</w:t>
            </w: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0.91</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0.469**</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0.583**</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i/>
                <w:sz w:val="20"/>
                <w:szCs w:val="20"/>
              </w:rPr>
            </w:pPr>
            <w:r w:rsidRPr="005E017F">
              <w:rPr>
                <w:rFonts w:ascii="Arial" w:eastAsia="Arial" w:hAnsi="Arial" w:cs="Arial"/>
                <w:b/>
                <w:i/>
                <w:sz w:val="20"/>
                <w:szCs w:val="20"/>
              </w:rPr>
              <w:t>0.827</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r>
      <w:tr w:rsidR="002A064F" w:rsidRPr="005E017F" w:rsidTr="009338FD">
        <w:trPr>
          <w:jc w:val="right"/>
        </w:trPr>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DC73C4"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ROC</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jc w:val="center"/>
              <w:rPr>
                <w:rFonts w:ascii="Times New Roman" w:eastAsia="Times New Roman" w:hAnsi="Times New Roman" w:cs="Times New Roman"/>
                <w:sz w:val="20"/>
                <w:szCs w:val="20"/>
              </w:rPr>
            </w:pPr>
            <w:r w:rsidRPr="005E017F">
              <w:rPr>
                <w:rFonts w:ascii="Arial" w:eastAsia="Arial" w:hAnsi="Arial" w:cs="Arial"/>
                <w:b/>
                <w:sz w:val="20"/>
                <w:szCs w:val="20"/>
              </w:rPr>
              <w:t>0.937</w:t>
            </w:r>
          </w:p>
        </w:tc>
        <w:tc>
          <w:tcPr>
            <w:tcW w:w="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3.95</w:t>
            </w: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0.82</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0.460**</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0.754**</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0.591**</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i/>
                <w:sz w:val="20"/>
                <w:szCs w:val="20"/>
              </w:rPr>
            </w:pPr>
            <w:r w:rsidRPr="005E017F">
              <w:rPr>
                <w:rFonts w:ascii="Arial" w:eastAsia="Arial" w:hAnsi="Arial" w:cs="Arial"/>
                <w:b/>
                <w:i/>
                <w:sz w:val="20"/>
                <w:szCs w:val="20"/>
              </w:rPr>
              <w:t>0.824</w:t>
            </w:r>
          </w:p>
        </w:tc>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p>
        </w:tc>
      </w:tr>
      <w:tr w:rsidR="002A064F" w:rsidRPr="005E017F" w:rsidTr="009338FD">
        <w:trPr>
          <w:jc w:val="right"/>
        </w:trPr>
        <w:tc>
          <w:tcPr>
            <w:tcW w:w="148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3C1E97" w:rsidP="002A064F">
            <w:pPr>
              <w:spacing w:after="0" w:line="240" w:lineRule="auto"/>
              <w:rPr>
                <w:rFonts w:ascii="Times New Roman" w:eastAsia="Times New Roman" w:hAnsi="Times New Roman" w:cs="Times New Roman"/>
                <w:sz w:val="20"/>
                <w:szCs w:val="20"/>
              </w:rPr>
            </w:pPr>
            <w:r>
              <w:rPr>
                <w:rFonts w:ascii="Arial" w:eastAsia="Arial" w:hAnsi="Arial" w:cs="Arial"/>
                <w:b/>
                <w:sz w:val="20"/>
                <w:szCs w:val="20"/>
              </w:rPr>
              <w:t>OR</w:t>
            </w:r>
          </w:p>
        </w:tc>
        <w:tc>
          <w:tcPr>
            <w:tcW w:w="13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jc w:val="center"/>
              <w:rPr>
                <w:rFonts w:ascii="Times New Roman" w:eastAsia="Times New Roman" w:hAnsi="Times New Roman" w:cs="Times New Roman"/>
                <w:sz w:val="20"/>
                <w:szCs w:val="20"/>
              </w:rPr>
            </w:pPr>
            <w:r w:rsidRPr="005E017F">
              <w:rPr>
                <w:rFonts w:ascii="Arial" w:eastAsia="Arial" w:hAnsi="Arial" w:cs="Arial"/>
                <w:b/>
                <w:sz w:val="20"/>
                <w:szCs w:val="20"/>
              </w:rPr>
              <w:t>0.897</w:t>
            </w:r>
          </w:p>
        </w:tc>
        <w:tc>
          <w:tcPr>
            <w:tcW w:w="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3.94</w:t>
            </w:r>
          </w:p>
        </w:tc>
        <w:tc>
          <w:tcPr>
            <w:tcW w:w="7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Arial" w:eastAsia="Arial" w:hAnsi="Arial" w:cs="Arial"/>
                <w:sz w:val="20"/>
                <w:szCs w:val="20"/>
              </w:rPr>
            </w:pPr>
            <w:r w:rsidRPr="005E017F">
              <w:rPr>
                <w:rFonts w:ascii="Arial" w:eastAsia="Arial" w:hAnsi="Arial" w:cs="Arial"/>
                <w:sz w:val="20"/>
                <w:szCs w:val="20"/>
              </w:rPr>
              <w:t>0.76</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0.458*</w:t>
            </w:r>
          </w:p>
        </w:tc>
        <w:tc>
          <w:tcPr>
            <w:tcW w:w="9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0.631**</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0.519**</w:t>
            </w:r>
          </w:p>
        </w:tc>
        <w:tc>
          <w:tcPr>
            <w:tcW w:w="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sz w:val="20"/>
                <w:szCs w:val="20"/>
              </w:rPr>
            </w:pPr>
            <w:r w:rsidRPr="005E017F">
              <w:rPr>
                <w:rFonts w:ascii="Arial" w:eastAsia="Arial" w:hAnsi="Arial" w:cs="Arial"/>
                <w:sz w:val="20"/>
                <w:szCs w:val="20"/>
              </w:rPr>
              <w:t>0.681**</w:t>
            </w:r>
          </w:p>
        </w:tc>
        <w:tc>
          <w:tcPr>
            <w:tcW w:w="7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2A064F" w:rsidRPr="005E017F" w:rsidRDefault="002A064F" w:rsidP="002A064F">
            <w:pPr>
              <w:spacing w:after="0" w:line="240" w:lineRule="auto"/>
              <w:rPr>
                <w:rFonts w:ascii="Times New Roman" w:eastAsia="Times New Roman" w:hAnsi="Times New Roman" w:cs="Times New Roman"/>
                <w:i/>
                <w:sz w:val="20"/>
                <w:szCs w:val="20"/>
              </w:rPr>
            </w:pPr>
            <w:r w:rsidRPr="005E017F">
              <w:rPr>
                <w:rFonts w:ascii="Arial" w:eastAsia="Arial" w:hAnsi="Arial" w:cs="Arial"/>
                <w:b/>
                <w:i/>
                <w:sz w:val="20"/>
                <w:szCs w:val="20"/>
              </w:rPr>
              <w:t>0.827</w:t>
            </w:r>
          </w:p>
        </w:tc>
      </w:tr>
    </w:tbl>
    <w:p w:rsidR="002A064F" w:rsidRPr="000662AF" w:rsidRDefault="002A064F" w:rsidP="002A064F">
      <w:pPr>
        <w:spacing w:after="0" w:line="240" w:lineRule="auto"/>
        <w:jc w:val="both"/>
        <w:rPr>
          <w:rFonts w:ascii="Times New Roman" w:eastAsia="Times New Roman" w:hAnsi="Times New Roman" w:cs="Times New Roman"/>
        </w:rPr>
      </w:pPr>
      <w:r w:rsidRPr="000662AF">
        <w:rPr>
          <w:rFonts w:ascii="Times New Roman" w:eastAsia="Times New Roman" w:hAnsi="Times New Roman" w:cs="Times New Roman"/>
          <w:b/>
        </w:rPr>
        <w:t>Notes:</w:t>
      </w:r>
      <w:r w:rsidRPr="000662AF">
        <w:rPr>
          <w:rFonts w:ascii="Times New Roman" w:eastAsia="Times New Roman" w:hAnsi="Times New Roman" w:cs="Times New Roman"/>
        </w:rPr>
        <w:t xml:space="preserve"> ** p &lt; 0.01; * p &lt; 0.05; </w:t>
      </w:r>
      <w:r w:rsidR="003C1E97">
        <w:rPr>
          <w:rFonts w:ascii="Times New Roman" w:eastAsia="Times New Roman" w:hAnsi="Times New Roman" w:cs="Times New Roman"/>
        </w:rPr>
        <w:t>ENVD</w:t>
      </w:r>
      <w:r w:rsidRPr="000662AF">
        <w:rPr>
          <w:rFonts w:ascii="Times New Roman" w:eastAsia="Times New Roman" w:hAnsi="Times New Roman" w:cs="Times New Roman"/>
        </w:rPr>
        <w:t xml:space="preserve"> – </w:t>
      </w:r>
      <w:r w:rsidR="00DC73C4" w:rsidRPr="00DC73C4">
        <w:rPr>
          <w:rFonts w:ascii="Times New Roman" w:eastAsia="Times New Roman" w:hAnsi="Times New Roman" w:cs="Times New Roman"/>
        </w:rPr>
        <w:t>Environmental Dynamism</w:t>
      </w:r>
      <w:r w:rsidRPr="000662AF">
        <w:rPr>
          <w:rFonts w:ascii="Times New Roman" w:eastAsia="Times New Roman" w:hAnsi="Times New Roman" w:cs="Times New Roman"/>
        </w:rPr>
        <w:t xml:space="preserve">; </w:t>
      </w:r>
      <w:r w:rsidR="003C1E97">
        <w:rPr>
          <w:rFonts w:ascii="Times New Roman" w:eastAsia="Times New Roman" w:hAnsi="Times New Roman" w:cs="Times New Roman"/>
        </w:rPr>
        <w:t>AD</w:t>
      </w:r>
      <w:r w:rsidR="00DC73C4">
        <w:rPr>
          <w:rFonts w:ascii="Times New Roman" w:eastAsia="Times New Roman" w:hAnsi="Times New Roman" w:cs="Times New Roman"/>
        </w:rPr>
        <w:t xml:space="preserve"> – Ambidexterity; </w:t>
      </w:r>
      <w:r w:rsidRPr="000662AF">
        <w:rPr>
          <w:rFonts w:ascii="Times New Roman" w:eastAsia="Times New Roman" w:hAnsi="Times New Roman" w:cs="Times New Roman"/>
        </w:rPr>
        <w:t>A</w:t>
      </w:r>
      <w:r w:rsidR="00DC73C4">
        <w:rPr>
          <w:rFonts w:ascii="Times New Roman" w:eastAsia="Times New Roman" w:hAnsi="Times New Roman" w:cs="Times New Roman"/>
        </w:rPr>
        <w:t>G</w:t>
      </w:r>
      <w:r w:rsidRPr="000662AF">
        <w:rPr>
          <w:rFonts w:ascii="Times New Roman" w:eastAsia="Times New Roman" w:hAnsi="Times New Roman" w:cs="Times New Roman"/>
        </w:rPr>
        <w:t xml:space="preserve"> – Agility; </w:t>
      </w:r>
      <w:r w:rsidR="00DC73C4">
        <w:rPr>
          <w:rFonts w:ascii="Times New Roman" w:eastAsia="Times New Roman" w:hAnsi="Times New Roman" w:cs="Times New Roman"/>
        </w:rPr>
        <w:t xml:space="preserve">ROC – </w:t>
      </w:r>
      <w:r w:rsidRPr="000662AF">
        <w:rPr>
          <w:rFonts w:ascii="Times New Roman" w:eastAsia="Times New Roman" w:hAnsi="Times New Roman" w:cs="Times New Roman"/>
        </w:rPr>
        <w:t xml:space="preserve">Resource Orchestration Capability; </w:t>
      </w:r>
      <w:r w:rsidR="003C1E97">
        <w:rPr>
          <w:rFonts w:ascii="Times New Roman" w:eastAsia="Times New Roman" w:hAnsi="Times New Roman" w:cs="Times New Roman"/>
        </w:rPr>
        <w:t>OR</w:t>
      </w:r>
      <w:r w:rsidRPr="000662AF">
        <w:rPr>
          <w:rFonts w:ascii="Times New Roman" w:eastAsia="Times New Roman" w:hAnsi="Times New Roman" w:cs="Times New Roman"/>
        </w:rPr>
        <w:t xml:space="preserve"> – Organizational Resilience; SD – Standard Deviation; diagonal (bold, italic) – AVE Square Root</w:t>
      </w:r>
    </w:p>
    <w:p w:rsidR="002A064F" w:rsidRDefault="002A064F" w:rsidP="002A064F">
      <w:pPr>
        <w:spacing w:after="0" w:line="240" w:lineRule="auto"/>
        <w:jc w:val="both"/>
        <w:rPr>
          <w:rFonts w:ascii="Times New Roman" w:eastAsia="Times New Roman" w:hAnsi="Times New Roman" w:cs="Times New Roman"/>
        </w:rPr>
      </w:pPr>
      <w:r w:rsidRPr="000662AF">
        <w:rPr>
          <w:rFonts w:ascii="Times New Roman" w:eastAsia="Times New Roman" w:hAnsi="Times New Roman" w:cs="Times New Roman"/>
          <w:b/>
        </w:rPr>
        <w:t>Source:</w:t>
      </w:r>
      <w:r w:rsidRPr="000662AF">
        <w:rPr>
          <w:rFonts w:ascii="Times New Roman" w:eastAsia="Times New Roman" w:hAnsi="Times New Roman" w:cs="Times New Roman"/>
        </w:rPr>
        <w:t xml:space="preserve"> Author’s own work.</w:t>
      </w:r>
    </w:p>
    <w:p w:rsidR="00BA71DF" w:rsidRDefault="00BA71DF" w:rsidP="002A064F">
      <w:pPr>
        <w:spacing w:after="0" w:line="240" w:lineRule="auto"/>
        <w:jc w:val="both"/>
        <w:rPr>
          <w:rFonts w:ascii="Times New Roman" w:eastAsia="Times New Roman" w:hAnsi="Times New Roman" w:cs="Times New Roman"/>
        </w:rPr>
      </w:pPr>
    </w:p>
    <w:p w:rsidR="00BA71DF" w:rsidRDefault="00BA71DF" w:rsidP="002A064F">
      <w:pPr>
        <w:spacing w:after="0" w:line="240" w:lineRule="auto"/>
        <w:jc w:val="both"/>
        <w:rPr>
          <w:rFonts w:ascii="Times New Roman" w:eastAsia="Times New Roman" w:hAnsi="Times New Roman" w:cs="Times New Roman"/>
        </w:rPr>
      </w:pPr>
    </w:p>
    <w:p w:rsidR="00BA71DF" w:rsidRDefault="00BA71DF" w:rsidP="002A064F">
      <w:pPr>
        <w:spacing w:after="0" w:line="240" w:lineRule="auto"/>
        <w:jc w:val="both"/>
        <w:rPr>
          <w:rFonts w:ascii="Times New Roman" w:eastAsia="Times New Roman" w:hAnsi="Times New Roman" w:cs="Times New Roman"/>
        </w:rPr>
      </w:pPr>
    </w:p>
    <w:p w:rsidR="002A064F" w:rsidRPr="000662AF" w:rsidRDefault="002A064F" w:rsidP="002A064F">
      <w:pPr>
        <w:spacing w:after="0" w:line="240" w:lineRule="auto"/>
        <w:jc w:val="both"/>
        <w:rPr>
          <w:rFonts w:ascii="Times New Roman" w:eastAsia="Times New Roman" w:hAnsi="Times New Roman" w:cs="Times New Roman"/>
        </w:rPr>
      </w:pPr>
    </w:p>
    <w:p w:rsidR="002A064F" w:rsidRPr="001B2A37" w:rsidRDefault="002A064F" w:rsidP="002A064F">
      <w:pPr>
        <w:spacing w:after="0" w:line="480" w:lineRule="auto"/>
        <w:ind w:left="360"/>
        <w:jc w:val="both"/>
        <w:rPr>
          <w:rFonts w:ascii="Times New Roman" w:eastAsia="Times New Roman" w:hAnsi="Times New Roman" w:cs="Times New Roman"/>
          <w:b/>
          <w:sz w:val="26"/>
          <w:szCs w:val="26"/>
        </w:rPr>
      </w:pPr>
      <w:proofErr w:type="gramStart"/>
      <w:r w:rsidRPr="001B2A37">
        <w:rPr>
          <w:rFonts w:ascii="Times New Roman" w:eastAsia="Times New Roman" w:hAnsi="Times New Roman" w:cs="Times New Roman"/>
          <w:b/>
          <w:sz w:val="26"/>
          <w:szCs w:val="26"/>
        </w:rPr>
        <w:t>Table 4.</w:t>
      </w:r>
      <w:proofErr w:type="gramEnd"/>
      <w:r w:rsidRPr="001B2A37">
        <w:rPr>
          <w:rFonts w:ascii="Times New Roman" w:eastAsia="Times New Roman" w:hAnsi="Times New Roman" w:cs="Times New Roman"/>
          <w:b/>
          <w:sz w:val="26"/>
          <w:szCs w:val="26"/>
        </w:rPr>
        <w:t xml:space="preserve"> Exploratory and Confirmatory Factor Analysis</w:t>
      </w:r>
    </w:p>
    <w:tbl>
      <w:tblPr>
        <w:tblW w:w="103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44"/>
        <w:gridCol w:w="1159"/>
        <w:gridCol w:w="1710"/>
        <w:gridCol w:w="1530"/>
        <w:gridCol w:w="1440"/>
        <w:gridCol w:w="1422"/>
        <w:gridCol w:w="1422"/>
      </w:tblGrid>
      <w:tr w:rsidR="002A064F" w:rsidRPr="005E017F" w:rsidTr="009338FD">
        <w:tc>
          <w:tcPr>
            <w:tcW w:w="1644" w:type="dxa"/>
          </w:tcPr>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Constructs and Factors</w:t>
            </w:r>
          </w:p>
        </w:tc>
        <w:tc>
          <w:tcPr>
            <w:tcW w:w="1159" w:type="dxa"/>
          </w:tcPr>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Standard Factor Loadings (CFA)</w:t>
            </w:r>
          </w:p>
        </w:tc>
        <w:tc>
          <w:tcPr>
            <w:tcW w:w="1710" w:type="dxa"/>
          </w:tcPr>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Standardized Factor Loadings (EFA)</w:t>
            </w:r>
          </w:p>
        </w:tc>
        <w:tc>
          <w:tcPr>
            <w:tcW w:w="1530" w:type="dxa"/>
          </w:tcPr>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Cronbach’</w:t>
            </w:r>
          </w:p>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Alpha</w:t>
            </w:r>
          </w:p>
        </w:tc>
        <w:tc>
          <w:tcPr>
            <w:tcW w:w="1440" w:type="dxa"/>
          </w:tcPr>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Bartlett’s Test</w:t>
            </w:r>
          </w:p>
        </w:tc>
        <w:tc>
          <w:tcPr>
            <w:tcW w:w="1422" w:type="dxa"/>
          </w:tcPr>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Explained Variance (%)</w:t>
            </w:r>
          </w:p>
        </w:tc>
        <w:tc>
          <w:tcPr>
            <w:tcW w:w="1422" w:type="dxa"/>
          </w:tcPr>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b/>
              </w:rPr>
              <w:t>HTMT</w:t>
            </w:r>
          </w:p>
          <w:p w:rsidR="002A064F" w:rsidRPr="005E017F" w:rsidRDefault="002A064F" w:rsidP="002A064F">
            <w:pPr>
              <w:spacing w:after="0" w:line="240" w:lineRule="auto"/>
              <w:jc w:val="both"/>
              <w:rPr>
                <w:rFonts w:ascii="Times New Roman" w:eastAsia="Times New Roman" w:hAnsi="Times New Roman" w:cs="Times New Roman"/>
                <w:b/>
              </w:rPr>
            </w:pPr>
            <w:r>
              <w:rPr>
                <w:rFonts w:ascii="Times New Roman" w:eastAsia="Times New Roman" w:hAnsi="Times New Roman" w:cs="Times New Roman"/>
                <w:b/>
              </w:rPr>
              <w:t xml:space="preserve"> &lt; 0.8</w:t>
            </w:r>
            <w:r w:rsidRPr="005E017F">
              <w:rPr>
                <w:rFonts w:ascii="Times New Roman" w:eastAsia="Times New Roman" w:hAnsi="Times New Roman" w:cs="Times New Roman"/>
                <w:b/>
              </w:rPr>
              <w:t>0</w:t>
            </w:r>
          </w:p>
        </w:tc>
      </w:tr>
      <w:tr w:rsidR="002A064F" w:rsidRPr="005E017F" w:rsidTr="009338FD">
        <w:tc>
          <w:tcPr>
            <w:tcW w:w="1644" w:type="dxa"/>
          </w:tcPr>
          <w:p w:rsidR="00DC73C4" w:rsidRDefault="00DC73C4" w:rsidP="002A064F">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Environmental Dynamism </w:t>
            </w:r>
            <w:r w:rsidR="00BA71DF">
              <w:rPr>
                <w:rFonts w:ascii="Times New Roman" w:eastAsia="Times New Roman" w:hAnsi="Times New Roman" w:cs="Times New Roman"/>
                <w:b/>
                <w:bCs/>
              </w:rPr>
              <w:t>(ENVD)</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ENVD</w:t>
            </w:r>
            <w:r w:rsidR="002A064F" w:rsidRPr="005E017F">
              <w:rPr>
                <w:rFonts w:ascii="Times New Roman" w:eastAsia="Times New Roman" w:hAnsi="Times New Roman" w:cs="Times New Roman"/>
              </w:rPr>
              <w:t>1</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ENVD</w:t>
            </w:r>
            <w:r w:rsidR="002A064F" w:rsidRPr="005E017F">
              <w:rPr>
                <w:rFonts w:ascii="Times New Roman" w:eastAsia="Times New Roman" w:hAnsi="Times New Roman" w:cs="Times New Roman"/>
              </w:rPr>
              <w:t>2</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ENVD</w:t>
            </w:r>
            <w:r w:rsidR="002A064F" w:rsidRPr="005E017F">
              <w:rPr>
                <w:rFonts w:ascii="Times New Roman" w:eastAsia="Times New Roman" w:hAnsi="Times New Roman" w:cs="Times New Roman"/>
              </w:rPr>
              <w:t>3</w:t>
            </w:r>
          </w:p>
          <w:p w:rsidR="002A064F" w:rsidRPr="00B57694" w:rsidRDefault="003C1E97" w:rsidP="002A064F">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ENVD</w:t>
            </w:r>
            <w:r w:rsidR="002A064F" w:rsidRPr="00B57694">
              <w:rPr>
                <w:rFonts w:ascii="Times New Roman" w:eastAsia="Times New Roman" w:hAnsi="Times New Roman" w:cs="Times New Roman"/>
                <w:color w:val="FF0000"/>
              </w:rPr>
              <w:t>4</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ENVD</w:t>
            </w:r>
            <w:r w:rsidR="002A064F" w:rsidRPr="005E017F">
              <w:rPr>
                <w:rFonts w:ascii="Times New Roman" w:eastAsia="Times New Roman" w:hAnsi="Times New Roman" w:cs="Times New Roman"/>
              </w:rPr>
              <w:t>5</w:t>
            </w:r>
          </w:p>
        </w:tc>
        <w:tc>
          <w:tcPr>
            <w:tcW w:w="1159"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0.832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0.766</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0.733</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0.720</w:t>
            </w:r>
          </w:p>
        </w:tc>
        <w:tc>
          <w:tcPr>
            <w:tcW w:w="171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0.840</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0.762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0.712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0.762</w:t>
            </w:r>
          </w:p>
        </w:tc>
        <w:tc>
          <w:tcPr>
            <w:tcW w:w="153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0.844</w:t>
            </w:r>
          </w:p>
        </w:tc>
        <w:tc>
          <w:tcPr>
            <w:tcW w:w="144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i/>
              </w:rPr>
              <w:t>X</w:t>
            </w:r>
            <w:r w:rsidRPr="005E017F">
              <w:rPr>
                <w:rFonts w:ascii="Times New Roman" w:eastAsia="Times New Roman" w:hAnsi="Times New Roman" w:cs="Times New Roman"/>
                <w:i/>
                <w:vertAlign w:val="superscript"/>
              </w:rPr>
              <w:t>2</w:t>
            </w:r>
            <w:r w:rsidRPr="005E017F">
              <w:rPr>
                <w:rFonts w:ascii="Times New Roman" w:eastAsia="Times New Roman" w:hAnsi="Times New Roman" w:cs="Times New Roman"/>
              </w:rPr>
              <w:t xml:space="preserve"> = 422.183</w:t>
            </w:r>
          </w:p>
          <w:p w:rsidR="002A064F" w:rsidRPr="005E017F" w:rsidRDefault="002A064F" w:rsidP="002A064F">
            <w:pPr>
              <w:spacing w:after="0" w:line="240" w:lineRule="auto"/>
              <w:jc w:val="both"/>
              <w:rPr>
                <w:rFonts w:ascii="Times New Roman" w:eastAsia="Times New Roman" w:hAnsi="Times New Roman" w:cs="Times New Roman"/>
              </w:rPr>
            </w:pPr>
            <w:proofErr w:type="spellStart"/>
            <w:r w:rsidRPr="005E017F">
              <w:rPr>
                <w:rFonts w:ascii="Times New Roman" w:eastAsia="Times New Roman" w:hAnsi="Times New Roman" w:cs="Times New Roman"/>
              </w:rPr>
              <w:t>df</w:t>
            </w:r>
            <w:proofErr w:type="spellEnd"/>
            <w:r w:rsidRPr="005E017F">
              <w:rPr>
                <w:rFonts w:ascii="Times New Roman" w:eastAsia="Times New Roman" w:hAnsi="Times New Roman" w:cs="Times New Roman"/>
              </w:rPr>
              <w:t xml:space="preserve"> = 6</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Sig &lt; 0.001</w:t>
            </w:r>
          </w:p>
          <w:p w:rsidR="002A064F" w:rsidRPr="005E017F" w:rsidRDefault="002A064F" w:rsidP="002A064F">
            <w:pPr>
              <w:spacing w:after="0" w:line="240" w:lineRule="auto"/>
              <w:jc w:val="both"/>
              <w:rPr>
                <w:rFonts w:ascii="Times New Roman" w:eastAsia="Times New Roman" w:hAnsi="Times New Roman" w:cs="Times New Roman"/>
              </w:rPr>
            </w:pP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68.108</w:t>
            </w: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YES</w:t>
            </w:r>
          </w:p>
        </w:tc>
      </w:tr>
      <w:tr w:rsidR="002A064F" w:rsidRPr="005E017F" w:rsidTr="009338FD">
        <w:tc>
          <w:tcPr>
            <w:tcW w:w="1644" w:type="dxa"/>
          </w:tcPr>
          <w:p w:rsidR="002A064F" w:rsidRDefault="002A064F" w:rsidP="002A064F">
            <w:pPr>
              <w:spacing w:after="0" w:line="240" w:lineRule="auto"/>
              <w:jc w:val="both"/>
              <w:rPr>
                <w:rFonts w:ascii="Times New Roman" w:eastAsia="Times New Roman" w:hAnsi="Times New Roman" w:cs="Times New Roman"/>
                <w:b/>
                <w:bCs/>
              </w:rPr>
            </w:pPr>
            <w:r w:rsidRPr="005E017F">
              <w:rPr>
                <w:rFonts w:ascii="Times New Roman" w:eastAsia="Times New Roman" w:hAnsi="Times New Roman" w:cs="Times New Roman"/>
                <w:b/>
                <w:bCs/>
              </w:rPr>
              <w:t>Ambidexterity</w:t>
            </w:r>
          </w:p>
          <w:p w:rsidR="00DC73C4" w:rsidRPr="005E017F" w:rsidRDefault="00BA71DF" w:rsidP="002A064F">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(AD)</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1</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2</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3</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4</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5</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6</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7</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AD</w:t>
            </w:r>
            <w:r w:rsidR="002A064F" w:rsidRPr="005E017F">
              <w:rPr>
                <w:rFonts w:ascii="Times New Roman" w:eastAsia="Times New Roman" w:hAnsi="Times New Roman" w:cs="Times New Roman"/>
              </w:rPr>
              <w:t>8</w:t>
            </w:r>
          </w:p>
        </w:tc>
        <w:tc>
          <w:tcPr>
            <w:tcW w:w="1159"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0.772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0.769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0.718</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0.754</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0.724</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0.753</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0.751</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0.701</w:t>
            </w:r>
          </w:p>
        </w:tc>
        <w:tc>
          <w:tcPr>
            <w:tcW w:w="171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0.702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0.732</w:t>
            </w:r>
          </w:p>
          <w:p w:rsidR="002A064F" w:rsidRPr="005E017F" w:rsidRDefault="002A064F" w:rsidP="002A064F">
            <w:pPr>
              <w:spacing w:after="0" w:line="240" w:lineRule="auto"/>
              <w:jc w:val="both"/>
              <w:rPr>
                <w:rFonts w:ascii="Times New Roman" w:eastAsia="Times New Roman" w:hAnsi="Times New Roman" w:cs="Times New Roman"/>
                <w:b/>
              </w:rPr>
            </w:pPr>
            <w:r w:rsidRPr="005E017F">
              <w:rPr>
                <w:rFonts w:ascii="Times New Roman" w:eastAsia="Times New Roman" w:hAnsi="Times New Roman" w:cs="Times New Roman"/>
              </w:rPr>
              <w:t>0.657</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0.746</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0.757</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0.766</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0.769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0.661</w:t>
            </w:r>
          </w:p>
        </w:tc>
        <w:tc>
          <w:tcPr>
            <w:tcW w:w="153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0.941</w:t>
            </w:r>
          </w:p>
        </w:tc>
        <w:tc>
          <w:tcPr>
            <w:tcW w:w="144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i/>
              </w:rPr>
              <w:t>X</w:t>
            </w:r>
            <w:r w:rsidRPr="005E017F">
              <w:rPr>
                <w:rFonts w:ascii="Times New Roman" w:eastAsia="Times New Roman" w:hAnsi="Times New Roman" w:cs="Times New Roman"/>
                <w:i/>
                <w:vertAlign w:val="superscript"/>
              </w:rPr>
              <w:t>2</w:t>
            </w:r>
            <w:r w:rsidRPr="005E017F">
              <w:rPr>
                <w:rFonts w:ascii="Times New Roman" w:eastAsia="Times New Roman" w:hAnsi="Times New Roman" w:cs="Times New Roman"/>
              </w:rPr>
              <w:t xml:space="preserve"> = 1563.20</w:t>
            </w:r>
          </w:p>
          <w:p w:rsidR="002A064F" w:rsidRPr="005E017F" w:rsidRDefault="002A064F" w:rsidP="002A064F">
            <w:pPr>
              <w:spacing w:after="0" w:line="240" w:lineRule="auto"/>
              <w:jc w:val="both"/>
              <w:rPr>
                <w:rFonts w:ascii="Times New Roman" w:eastAsia="Times New Roman" w:hAnsi="Times New Roman" w:cs="Times New Roman"/>
              </w:rPr>
            </w:pPr>
            <w:proofErr w:type="spellStart"/>
            <w:r w:rsidRPr="005E017F">
              <w:rPr>
                <w:rFonts w:ascii="Times New Roman" w:eastAsia="Times New Roman" w:hAnsi="Times New Roman" w:cs="Times New Roman"/>
              </w:rPr>
              <w:t>df</w:t>
            </w:r>
            <w:proofErr w:type="spellEnd"/>
            <w:r w:rsidRPr="005E017F">
              <w:rPr>
                <w:rFonts w:ascii="Times New Roman" w:eastAsia="Times New Roman" w:hAnsi="Times New Roman" w:cs="Times New Roman"/>
              </w:rPr>
              <w:t xml:space="preserve"> = 28</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Sig &lt; 0.001</w:t>
            </w:r>
          </w:p>
          <w:p w:rsidR="002A064F" w:rsidRPr="005E017F" w:rsidRDefault="002A064F" w:rsidP="002A064F">
            <w:pPr>
              <w:spacing w:after="0" w:line="240" w:lineRule="auto"/>
              <w:jc w:val="both"/>
              <w:rPr>
                <w:rFonts w:ascii="Times New Roman" w:eastAsia="Times New Roman" w:hAnsi="Times New Roman" w:cs="Times New Roman"/>
              </w:rPr>
            </w:pP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70.838</w:t>
            </w: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YES</w:t>
            </w:r>
          </w:p>
        </w:tc>
      </w:tr>
      <w:tr w:rsidR="002A064F" w:rsidRPr="005E017F" w:rsidTr="009338FD">
        <w:tc>
          <w:tcPr>
            <w:tcW w:w="1644" w:type="dxa"/>
          </w:tcPr>
          <w:p w:rsidR="002A064F" w:rsidRPr="005E017F" w:rsidRDefault="002A064F" w:rsidP="002A064F">
            <w:pPr>
              <w:spacing w:after="0" w:line="240" w:lineRule="auto"/>
              <w:jc w:val="both"/>
              <w:rPr>
                <w:rFonts w:ascii="Times New Roman" w:eastAsia="Times New Roman" w:hAnsi="Times New Roman" w:cs="Times New Roman"/>
                <w:b/>
                <w:bCs/>
              </w:rPr>
            </w:pPr>
            <w:r w:rsidRPr="005E017F">
              <w:rPr>
                <w:rFonts w:ascii="Times New Roman" w:eastAsia="Times New Roman" w:hAnsi="Times New Roman" w:cs="Times New Roman"/>
                <w:b/>
                <w:bCs/>
              </w:rPr>
              <w:t>Agility</w:t>
            </w:r>
            <w:r w:rsidR="00BA71DF">
              <w:rPr>
                <w:rFonts w:ascii="Times New Roman" w:eastAsia="Times New Roman" w:hAnsi="Times New Roman" w:cs="Times New Roman"/>
                <w:b/>
                <w:bCs/>
              </w:rPr>
              <w:t xml:space="preserve"> (AG)</w:t>
            </w:r>
          </w:p>
          <w:p w:rsidR="002A064F" w:rsidRPr="00B57694" w:rsidRDefault="003C1E97" w:rsidP="002A064F">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AG</w:t>
            </w:r>
            <w:r w:rsidR="002A064F" w:rsidRPr="00B57694">
              <w:rPr>
                <w:rFonts w:ascii="Times New Roman" w:eastAsia="Times New Roman" w:hAnsi="Times New Roman" w:cs="Times New Roman"/>
                <w:color w:val="FF0000"/>
              </w:rPr>
              <w:t>1</w:t>
            </w:r>
          </w:p>
          <w:p w:rsidR="002A064F" w:rsidRPr="00B57694" w:rsidRDefault="003C1E97" w:rsidP="002A064F">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AG</w:t>
            </w:r>
            <w:r w:rsidR="002A064F" w:rsidRPr="00B57694">
              <w:rPr>
                <w:rFonts w:ascii="Times New Roman" w:eastAsia="Times New Roman" w:hAnsi="Times New Roman" w:cs="Times New Roman"/>
                <w:color w:val="FF0000"/>
              </w:rPr>
              <w:t>2</w:t>
            </w:r>
          </w:p>
          <w:p w:rsidR="002A064F" w:rsidRPr="00B57694" w:rsidRDefault="003C1E97" w:rsidP="002A064F">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AG</w:t>
            </w:r>
            <w:r w:rsidR="002A064F" w:rsidRPr="00B57694">
              <w:rPr>
                <w:rFonts w:ascii="Times New Roman" w:eastAsia="Times New Roman" w:hAnsi="Times New Roman" w:cs="Times New Roman"/>
                <w:color w:val="FF0000"/>
              </w:rPr>
              <w:t>3</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AG</w:t>
            </w:r>
            <w:r w:rsidR="002A064F" w:rsidRPr="005E017F">
              <w:rPr>
                <w:rFonts w:ascii="Times New Roman" w:eastAsia="Times New Roman" w:hAnsi="Times New Roman" w:cs="Times New Roman"/>
              </w:rPr>
              <w:t>4</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AG</w:t>
            </w:r>
            <w:r w:rsidR="002A064F" w:rsidRPr="005E017F">
              <w:rPr>
                <w:rFonts w:ascii="Times New Roman" w:eastAsia="Times New Roman" w:hAnsi="Times New Roman" w:cs="Times New Roman"/>
              </w:rPr>
              <w:t>5</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AG</w:t>
            </w:r>
            <w:r w:rsidR="002A064F" w:rsidRPr="005E017F">
              <w:rPr>
                <w:rFonts w:ascii="Times New Roman" w:eastAsia="Times New Roman" w:hAnsi="Times New Roman" w:cs="Times New Roman"/>
              </w:rPr>
              <w:t>6</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AG</w:t>
            </w:r>
            <w:r w:rsidR="002A064F" w:rsidRPr="005E017F">
              <w:rPr>
                <w:rFonts w:ascii="Times New Roman" w:eastAsia="Times New Roman" w:hAnsi="Times New Roman" w:cs="Times New Roman"/>
              </w:rPr>
              <w:t>7</w:t>
            </w:r>
          </w:p>
        </w:tc>
        <w:tc>
          <w:tcPr>
            <w:tcW w:w="1159"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0.807</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0.828</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0.927</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0.751</w:t>
            </w:r>
          </w:p>
        </w:tc>
        <w:tc>
          <w:tcPr>
            <w:tcW w:w="171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0.744</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0.843</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0.689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0.678</w:t>
            </w:r>
          </w:p>
        </w:tc>
        <w:tc>
          <w:tcPr>
            <w:tcW w:w="153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0.848</w:t>
            </w:r>
          </w:p>
        </w:tc>
        <w:tc>
          <w:tcPr>
            <w:tcW w:w="144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i/>
              </w:rPr>
              <w:t>X</w:t>
            </w:r>
            <w:r w:rsidRPr="005E017F">
              <w:rPr>
                <w:rFonts w:ascii="Times New Roman" w:eastAsia="Times New Roman" w:hAnsi="Times New Roman" w:cs="Times New Roman"/>
                <w:i/>
                <w:vertAlign w:val="superscript"/>
              </w:rPr>
              <w:t>2</w:t>
            </w:r>
            <w:r w:rsidRPr="005E017F">
              <w:rPr>
                <w:rFonts w:ascii="Times New Roman" w:eastAsia="Times New Roman" w:hAnsi="Times New Roman" w:cs="Times New Roman"/>
              </w:rPr>
              <w:t xml:space="preserve"> = 409.782</w:t>
            </w:r>
          </w:p>
          <w:p w:rsidR="002A064F" w:rsidRPr="005E017F" w:rsidRDefault="002A064F" w:rsidP="002A064F">
            <w:pPr>
              <w:spacing w:after="0" w:line="240" w:lineRule="auto"/>
              <w:jc w:val="both"/>
              <w:rPr>
                <w:rFonts w:ascii="Times New Roman" w:eastAsia="Times New Roman" w:hAnsi="Times New Roman" w:cs="Times New Roman"/>
              </w:rPr>
            </w:pPr>
            <w:proofErr w:type="spellStart"/>
            <w:r w:rsidRPr="005E017F">
              <w:rPr>
                <w:rFonts w:ascii="Times New Roman" w:eastAsia="Times New Roman" w:hAnsi="Times New Roman" w:cs="Times New Roman"/>
              </w:rPr>
              <w:t>df</w:t>
            </w:r>
            <w:proofErr w:type="spellEnd"/>
            <w:r w:rsidRPr="005E017F">
              <w:rPr>
                <w:rFonts w:ascii="Times New Roman" w:eastAsia="Times New Roman" w:hAnsi="Times New Roman" w:cs="Times New Roman"/>
              </w:rPr>
              <w:t xml:space="preserve"> = 6</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Sig &lt; 0.001</w:t>
            </w:r>
          </w:p>
          <w:p w:rsidR="002A064F" w:rsidRPr="005E017F" w:rsidRDefault="002A064F" w:rsidP="002A064F">
            <w:pPr>
              <w:spacing w:after="0" w:line="240" w:lineRule="auto"/>
              <w:jc w:val="both"/>
              <w:rPr>
                <w:rFonts w:ascii="Times New Roman" w:eastAsia="Times New Roman" w:hAnsi="Times New Roman" w:cs="Times New Roman"/>
              </w:rPr>
            </w:pP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68.683</w:t>
            </w: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YES</w:t>
            </w:r>
          </w:p>
        </w:tc>
      </w:tr>
      <w:tr w:rsidR="002A064F" w:rsidRPr="005E017F" w:rsidTr="009338FD">
        <w:tc>
          <w:tcPr>
            <w:tcW w:w="1644" w:type="dxa"/>
          </w:tcPr>
          <w:p w:rsidR="002A064F" w:rsidRDefault="002A064F" w:rsidP="002A064F">
            <w:pPr>
              <w:spacing w:after="0" w:line="240" w:lineRule="auto"/>
              <w:jc w:val="both"/>
              <w:rPr>
                <w:rFonts w:ascii="Times New Roman" w:eastAsia="Times New Roman" w:hAnsi="Times New Roman" w:cs="Times New Roman"/>
                <w:b/>
                <w:bCs/>
              </w:rPr>
            </w:pPr>
            <w:r w:rsidRPr="005E017F">
              <w:rPr>
                <w:rFonts w:ascii="Times New Roman" w:eastAsia="Times New Roman" w:hAnsi="Times New Roman" w:cs="Times New Roman"/>
                <w:b/>
                <w:bCs/>
              </w:rPr>
              <w:lastRenderedPageBreak/>
              <w:t>Resource Orchestration Capability</w:t>
            </w:r>
          </w:p>
          <w:p w:rsidR="00DC73C4" w:rsidRPr="005E017F" w:rsidRDefault="00BA71DF" w:rsidP="002A064F">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(ROC)</w:t>
            </w:r>
          </w:p>
          <w:p w:rsidR="002A064F" w:rsidRPr="00B57694" w:rsidRDefault="00DC73C4" w:rsidP="002A064F">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ROC</w:t>
            </w:r>
            <w:r w:rsidR="002A064F" w:rsidRPr="00B57694">
              <w:rPr>
                <w:rFonts w:ascii="Times New Roman" w:eastAsia="Times New Roman" w:hAnsi="Times New Roman" w:cs="Times New Roman"/>
                <w:color w:val="FF0000"/>
              </w:rPr>
              <w:t>1</w:t>
            </w:r>
          </w:p>
          <w:p w:rsidR="002A064F" w:rsidRPr="005E017F" w:rsidRDefault="00DC73C4"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ROC</w:t>
            </w:r>
            <w:r w:rsidR="002A064F" w:rsidRPr="005E017F">
              <w:rPr>
                <w:rFonts w:ascii="Times New Roman" w:eastAsia="Times New Roman" w:hAnsi="Times New Roman" w:cs="Times New Roman"/>
              </w:rPr>
              <w:t>2</w:t>
            </w:r>
          </w:p>
          <w:p w:rsidR="002A064F" w:rsidRPr="00B57694" w:rsidRDefault="00DC73C4" w:rsidP="002A064F">
            <w:pPr>
              <w:spacing w:after="0" w:line="240" w:lineRule="auto"/>
              <w:jc w:val="both"/>
              <w:rPr>
                <w:rFonts w:ascii="Times New Roman" w:eastAsia="Times New Roman" w:hAnsi="Times New Roman" w:cs="Times New Roman"/>
                <w:color w:val="FF0000"/>
              </w:rPr>
            </w:pPr>
            <w:r>
              <w:rPr>
                <w:rFonts w:ascii="Times New Roman" w:eastAsia="Times New Roman" w:hAnsi="Times New Roman" w:cs="Times New Roman"/>
                <w:color w:val="FF0000"/>
              </w:rPr>
              <w:t>ROC</w:t>
            </w:r>
            <w:r w:rsidR="002A064F" w:rsidRPr="00B57694">
              <w:rPr>
                <w:rFonts w:ascii="Times New Roman" w:eastAsia="Times New Roman" w:hAnsi="Times New Roman" w:cs="Times New Roman"/>
                <w:color w:val="FF0000"/>
              </w:rPr>
              <w:t>3</w:t>
            </w:r>
          </w:p>
          <w:p w:rsidR="002A064F" w:rsidRPr="005E017F" w:rsidRDefault="00DC73C4"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ROC</w:t>
            </w:r>
            <w:r w:rsidR="002A064F" w:rsidRPr="005E017F">
              <w:rPr>
                <w:rFonts w:ascii="Times New Roman" w:eastAsia="Times New Roman" w:hAnsi="Times New Roman" w:cs="Times New Roman"/>
              </w:rPr>
              <w:t>4</w:t>
            </w:r>
          </w:p>
          <w:p w:rsidR="002A064F" w:rsidRPr="005E017F" w:rsidRDefault="00DC73C4"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ROC</w:t>
            </w:r>
            <w:r w:rsidR="002A064F" w:rsidRPr="005E017F">
              <w:rPr>
                <w:rFonts w:ascii="Times New Roman" w:eastAsia="Times New Roman" w:hAnsi="Times New Roman" w:cs="Times New Roman"/>
              </w:rPr>
              <w:t>5</w:t>
            </w:r>
          </w:p>
          <w:p w:rsidR="002A064F" w:rsidRPr="005E017F" w:rsidRDefault="00DC73C4"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ROC</w:t>
            </w:r>
            <w:r w:rsidR="002A064F" w:rsidRPr="005E017F">
              <w:rPr>
                <w:rFonts w:ascii="Times New Roman" w:eastAsia="Times New Roman" w:hAnsi="Times New Roman" w:cs="Times New Roman"/>
              </w:rPr>
              <w:t>6</w:t>
            </w:r>
          </w:p>
          <w:p w:rsidR="002A064F" w:rsidRPr="005E017F" w:rsidRDefault="00DC73C4"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ROC</w:t>
            </w:r>
            <w:r w:rsidR="002A064F" w:rsidRPr="005E017F">
              <w:rPr>
                <w:rFonts w:ascii="Times New Roman" w:eastAsia="Times New Roman" w:hAnsi="Times New Roman" w:cs="Times New Roman"/>
              </w:rPr>
              <w:t>7</w:t>
            </w:r>
          </w:p>
          <w:p w:rsidR="002A064F" w:rsidRPr="005E017F" w:rsidRDefault="00DC73C4"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ROC</w:t>
            </w:r>
            <w:r w:rsidR="002A064F" w:rsidRPr="005E017F">
              <w:rPr>
                <w:rFonts w:ascii="Times New Roman" w:eastAsia="Times New Roman" w:hAnsi="Times New Roman" w:cs="Times New Roman"/>
              </w:rPr>
              <w:t>8</w:t>
            </w:r>
          </w:p>
          <w:p w:rsidR="002A064F" w:rsidRPr="005E017F" w:rsidRDefault="00DC73C4"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ROC</w:t>
            </w:r>
            <w:r w:rsidR="002A064F" w:rsidRPr="005E017F">
              <w:rPr>
                <w:rFonts w:ascii="Times New Roman" w:eastAsia="Times New Roman" w:hAnsi="Times New Roman" w:cs="Times New Roman"/>
              </w:rPr>
              <w:t>9</w:t>
            </w:r>
          </w:p>
        </w:tc>
        <w:tc>
          <w:tcPr>
            <w:tcW w:w="1159"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0.801</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0.732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0.645</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0.921</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0.828</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0.779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0.792</w:t>
            </w:r>
          </w:p>
        </w:tc>
        <w:tc>
          <w:tcPr>
            <w:tcW w:w="171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0.712</w:t>
            </w:r>
          </w:p>
          <w:p w:rsidR="002A064F" w:rsidRPr="005E017F" w:rsidRDefault="002A064F" w:rsidP="002A064F">
            <w:pPr>
              <w:spacing w:after="0" w:line="240" w:lineRule="auto"/>
              <w:jc w:val="both"/>
              <w:rPr>
                <w:b/>
              </w:rPr>
            </w:pPr>
            <w:r w:rsidRPr="005E017F">
              <w:rPr>
                <w:rFonts w:ascii="Times New Roman" w:eastAsia="Times New Roman" w:hAnsi="Times New Roman" w:cs="Times New Roman"/>
              </w:rPr>
              <w:t>-</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0.765</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0.592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0.729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0.682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0.659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0.580</w:t>
            </w:r>
          </w:p>
        </w:tc>
        <w:tc>
          <w:tcPr>
            <w:tcW w:w="153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0.921</w:t>
            </w:r>
          </w:p>
        </w:tc>
        <w:tc>
          <w:tcPr>
            <w:tcW w:w="144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i/>
              </w:rPr>
              <w:t>X</w:t>
            </w:r>
            <w:r w:rsidRPr="005E017F">
              <w:rPr>
                <w:rFonts w:ascii="Times New Roman" w:eastAsia="Times New Roman" w:hAnsi="Times New Roman" w:cs="Times New Roman"/>
                <w:i/>
                <w:vertAlign w:val="superscript"/>
              </w:rPr>
              <w:t>2</w:t>
            </w:r>
            <w:r w:rsidRPr="005E017F">
              <w:rPr>
                <w:rFonts w:ascii="Times New Roman" w:eastAsia="Times New Roman" w:hAnsi="Times New Roman" w:cs="Times New Roman"/>
              </w:rPr>
              <w:t xml:space="preserve"> = 1160.36</w:t>
            </w:r>
          </w:p>
          <w:p w:rsidR="002A064F" w:rsidRPr="005E017F" w:rsidRDefault="002A064F" w:rsidP="002A064F">
            <w:pPr>
              <w:spacing w:after="0" w:line="240" w:lineRule="auto"/>
              <w:jc w:val="both"/>
              <w:rPr>
                <w:rFonts w:ascii="Times New Roman" w:eastAsia="Times New Roman" w:hAnsi="Times New Roman" w:cs="Times New Roman"/>
              </w:rPr>
            </w:pPr>
            <w:proofErr w:type="spellStart"/>
            <w:r w:rsidRPr="005E017F">
              <w:rPr>
                <w:rFonts w:ascii="Times New Roman" w:eastAsia="Times New Roman" w:hAnsi="Times New Roman" w:cs="Times New Roman"/>
              </w:rPr>
              <w:t>df</w:t>
            </w:r>
            <w:proofErr w:type="spellEnd"/>
            <w:r w:rsidRPr="005E017F">
              <w:rPr>
                <w:rFonts w:ascii="Times New Roman" w:eastAsia="Times New Roman" w:hAnsi="Times New Roman" w:cs="Times New Roman"/>
              </w:rPr>
              <w:t xml:space="preserve"> = 21</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Sig &lt; 0.001</w:t>
            </w:r>
          </w:p>
          <w:p w:rsidR="002A064F" w:rsidRPr="005E017F" w:rsidRDefault="002A064F" w:rsidP="002A064F">
            <w:pPr>
              <w:spacing w:after="0" w:line="240" w:lineRule="auto"/>
              <w:jc w:val="both"/>
              <w:rPr>
                <w:rFonts w:ascii="Times New Roman" w:eastAsia="Times New Roman" w:hAnsi="Times New Roman" w:cs="Times New Roman"/>
              </w:rPr>
            </w:pP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67.973</w:t>
            </w: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YES</w:t>
            </w:r>
          </w:p>
        </w:tc>
      </w:tr>
      <w:tr w:rsidR="002A064F" w:rsidRPr="005E017F" w:rsidTr="009338FD">
        <w:tc>
          <w:tcPr>
            <w:tcW w:w="1644" w:type="dxa"/>
          </w:tcPr>
          <w:p w:rsidR="002A064F" w:rsidRDefault="002A064F" w:rsidP="002A064F">
            <w:pPr>
              <w:spacing w:after="0" w:line="240" w:lineRule="auto"/>
              <w:jc w:val="both"/>
              <w:rPr>
                <w:rFonts w:ascii="Times New Roman" w:eastAsia="Times New Roman" w:hAnsi="Times New Roman" w:cs="Times New Roman"/>
                <w:b/>
                <w:bCs/>
              </w:rPr>
            </w:pPr>
            <w:r w:rsidRPr="005E017F">
              <w:rPr>
                <w:rFonts w:ascii="Times New Roman" w:eastAsia="Times New Roman" w:hAnsi="Times New Roman" w:cs="Times New Roman"/>
                <w:b/>
                <w:bCs/>
              </w:rPr>
              <w:t>Organisational Resilience</w:t>
            </w:r>
          </w:p>
          <w:p w:rsidR="00DC73C4" w:rsidRPr="005E017F" w:rsidRDefault="00BA71DF" w:rsidP="002A064F">
            <w:pPr>
              <w:spacing w:after="0" w:line="240" w:lineRule="auto"/>
              <w:jc w:val="both"/>
              <w:rPr>
                <w:rFonts w:ascii="Times New Roman" w:eastAsia="Times New Roman" w:hAnsi="Times New Roman" w:cs="Times New Roman"/>
                <w:b/>
                <w:bCs/>
              </w:rPr>
            </w:pPr>
            <w:r>
              <w:rPr>
                <w:rFonts w:ascii="Times New Roman" w:eastAsia="Times New Roman" w:hAnsi="Times New Roman" w:cs="Times New Roman"/>
                <w:b/>
                <w:bCs/>
              </w:rPr>
              <w:t>(OR)</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OR</w:t>
            </w:r>
            <w:r w:rsidR="002A064F" w:rsidRPr="005E017F">
              <w:rPr>
                <w:rFonts w:ascii="Times New Roman" w:eastAsia="Times New Roman" w:hAnsi="Times New Roman" w:cs="Times New Roman"/>
              </w:rPr>
              <w:t>1</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OR</w:t>
            </w:r>
            <w:r w:rsidR="002A064F" w:rsidRPr="005E017F">
              <w:rPr>
                <w:rFonts w:ascii="Times New Roman" w:eastAsia="Times New Roman" w:hAnsi="Times New Roman" w:cs="Times New Roman"/>
              </w:rPr>
              <w:t>2</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OR</w:t>
            </w:r>
            <w:r w:rsidR="002A064F" w:rsidRPr="005E017F">
              <w:rPr>
                <w:rFonts w:ascii="Times New Roman" w:eastAsia="Times New Roman" w:hAnsi="Times New Roman" w:cs="Times New Roman"/>
              </w:rPr>
              <w:t>3</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OR</w:t>
            </w:r>
            <w:r w:rsidR="002A064F" w:rsidRPr="005E017F">
              <w:rPr>
                <w:rFonts w:ascii="Times New Roman" w:eastAsia="Times New Roman" w:hAnsi="Times New Roman" w:cs="Times New Roman"/>
              </w:rPr>
              <w:t>4</w:t>
            </w:r>
          </w:p>
          <w:p w:rsidR="002A064F" w:rsidRPr="005E017F" w:rsidRDefault="003C1E97" w:rsidP="002A064F">
            <w:pPr>
              <w:spacing w:after="0" w:line="240" w:lineRule="auto"/>
              <w:jc w:val="both"/>
              <w:rPr>
                <w:rFonts w:ascii="Times New Roman" w:eastAsia="Times New Roman" w:hAnsi="Times New Roman" w:cs="Times New Roman"/>
              </w:rPr>
            </w:pPr>
            <w:r>
              <w:rPr>
                <w:rFonts w:ascii="Times New Roman" w:eastAsia="Times New Roman" w:hAnsi="Times New Roman" w:cs="Times New Roman"/>
                <w:color w:val="FF0000"/>
              </w:rPr>
              <w:t>OR</w:t>
            </w:r>
            <w:r w:rsidR="002A064F" w:rsidRPr="00B57694">
              <w:rPr>
                <w:rFonts w:ascii="Times New Roman" w:eastAsia="Times New Roman" w:hAnsi="Times New Roman" w:cs="Times New Roman"/>
                <w:color w:val="FF0000"/>
              </w:rPr>
              <w:t>5</w:t>
            </w:r>
          </w:p>
        </w:tc>
        <w:tc>
          <w:tcPr>
            <w:tcW w:w="1159"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0.560</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0.709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0.770</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0.748</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tc>
        <w:tc>
          <w:tcPr>
            <w:tcW w:w="171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0.682</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0.719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0.714</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0.739</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w:t>
            </w:r>
          </w:p>
        </w:tc>
        <w:tc>
          <w:tcPr>
            <w:tcW w:w="153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0.846</w:t>
            </w:r>
          </w:p>
        </w:tc>
        <w:tc>
          <w:tcPr>
            <w:tcW w:w="1440"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i/>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i/>
              </w:rPr>
              <w:t>X</w:t>
            </w:r>
            <w:r w:rsidRPr="005E017F">
              <w:rPr>
                <w:rFonts w:ascii="Times New Roman" w:eastAsia="Times New Roman" w:hAnsi="Times New Roman" w:cs="Times New Roman"/>
                <w:i/>
                <w:vertAlign w:val="superscript"/>
              </w:rPr>
              <w:t>2</w:t>
            </w:r>
            <w:r w:rsidRPr="005E017F">
              <w:rPr>
                <w:rFonts w:ascii="Times New Roman" w:eastAsia="Times New Roman" w:hAnsi="Times New Roman" w:cs="Times New Roman"/>
              </w:rPr>
              <w:t xml:space="preserve"> = 406.975</w:t>
            </w:r>
          </w:p>
          <w:p w:rsidR="002A064F" w:rsidRPr="005E017F" w:rsidRDefault="002A064F" w:rsidP="002A064F">
            <w:pPr>
              <w:spacing w:after="0" w:line="240" w:lineRule="auto"/>
              <w:jc w:val="both"/>
              <w:rPr>
                <w:rFonts w:ascii="Times New Roman" w:eastAsia="Times New Roman" w:hAnsi="Times New Roman" w:cs="Times New Roman"/>
              </w:rPr>
            </w:pPr>
            <w:proofErr w:type="spellStart"/>
            <w:r w:rsidRPr="005E017F">
              <w:rPr>
                <w:rFonts w:ascii="Times New Roman" w:eastAsia="Times New Roman" w:hAnsi="Times New Roman" w:cs="Times New Roman"/>
              </w:rPr>
              <w:t>df</w:t>
            </w:r>
            <w:proofErr w:type="spellEnd"/>
            <w:r w:rsidRPr="005E017F">
              <w:rPr>
                <w:rFonts w:ascii="Times New Roman" w:eastAsia="Times New Roman" w:hAnsi="Times New Roman" w:cs="Times New Roman"/>
              </w:rPr>
              <w:t xml:space="preserve"> = 6</w:t>
            </w: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Sig &lt; 0.001</w:t>
            </w:r>
          </w:p>
          <w:p w:rsidR="002A064F" w:rsidRPr="005E017F" w:rsidRDefault="002A064F" w:rsidP="002A064F">
            <w:pPr>
              <w:spacing w:after="0" w:line="240" w:lineRule="auto"/>
              <w:jc w:val="both"/>
              <w:rPr>
                <w:rFonts w:ascii="Times New Roman" w:eastAsia="Times New Roman" w:hAnsi="Times New Roman" w:cs="Times New Roman"/>
              </w:rPr>
            </w:pP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68.478</w:t>
            </w:r>
          </w:p>
        </w:tc>
        <w:tc>
          <w:tcPr>
            <w:tcW w:w="1422" w:type="dxa"/>
          </w:tcPr>
          <w:p w:rsidR="002A064F" w:rsidRPr="005E017F" w:rsidRDefault="002A064F"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DC73C4" w:rsidRDefault="00DC73C4" w:rsidP="002A064F">
            <w:pPr>
              <w:spacing w:after="0" w:line="240" w:lineRule="auto"/>
              <w:jc w:val="both"/>
              <w:rPr>
                <w:rFonts w:ascii="Times New Roman" w:eastAsia="Times New Roman" w:hAnsi="Times New Roman" w:cs="Times New Roman"/>
              </w:rPr>
            </w:pPr>
          </w:p>
          <w:p w:rsidR="002A064F" w:rsidRPr="005E017F" w:rsidRDefault="002A064F" w:rsidP="002A064F">
            <w:pPr>
              <w:spacing w:after="0" w:line="240" w:lineRule="auto"/>
              <w:jc w:val="both"/>
              <w:rPr>
                <w:rFonts w:ascii="Times New Roman" w:eastAsia="Times New Roman" w:hAnsi="Times New Roman" w:cs="Times New Roman"/>
              </w:rPr>
            </w:pPr>
            <w:r w:rsidRPr="005E017F">
              <w:rPr>
                <w:rFonts w:ascii="Times New Roman" w:eastAsia="Times New Roman" w:hAnsi="Times New Roman" w:cs="Times New Roman"/>
              </w:rPr>
              <w:t>YES</w:t>
            </w:r>
          </w:p>
        </w:tc>
      </w:tr>
    </w:tbl>
    <w:p w:rsidR="00027C9A" w:rsidRPr="00027C9A" w:rsidRDefault="00027C9A" w:rsidP="00027C9A">
      <w:pPr>
        <w:pStyle w:val="NormalWeb"/>
        <w:jc w:val="both"/>
        <w:rPr>
          <w:u w:val="single"/>
        </w:rPr>
      </w:pPr>
      <w:r w:rsidRPr="00027C9A">
        <w:rPr>
          <w:color w:val="FF0000"/>
          <w:u w:val="single"/>
        </w:rPr>
        <w:t>* Red Marked/Crossed items were removed from analysis due to no loading/mixed loading.</w:t>
      </w:r>
    </w:p>
    <w:p w:rsidR="00027C9A" w:rsidRDefault="00027C9A" w:rsidP="002A064F">
      <w:pPr>
        <w:spacing w:line="480" w:lineRule="auto"/>
        <w:jc w:val="both"/>
        <w:rPr>
          <w:rFonts w:ascii="Times New Roman" w:eastAsia="Times New Roman" w:hAnsi="Times New Roman" w:cs="Times New Roman"/>
          <w:b/>
          <w:sz w:val="24"/>
          <w:szCs w:val="24"/>
        </w:rPr>
      </w:pPr>
    </w:p>
    <w:p w:rsidR="002A064F" w:rsidRPr="002A064F" w:rsidRDefault="002A064F" w:rsidP="002A064F">
      <w:pPr>
        <w:spacing w:line="480" w:lineRule="auto"/>
        <w:jc w:val="both"/>
        <w:rPr>
          <w:rFonts w:ascii="Times New Roman" w:eastAsia="Times New Roman" w:hAnsi="Times New Roman" w:cs="Times New Roman"/>
          <w:b/>
          <w:sz w:val="24"/>
          <w:szCs w:val="24"/>
        </w:rPr>
      </w:pPr>
      <w:r w:rsidRPr="002A064F">
        <w:rPr>
          <w:rFonts w:ascii="Times New Roman" w:eastAsia="Times New Roman" w:hAnsi="Times New Roman" w:cs="Times New Roman"/>
          <w:b/>
          <w:sz w:val="24"/>
          <w:szCs w:val="24"/>
        </w:rPr>
        <w:t>Table 5: Coefficient of Determination</w:t>
      </w:r>
    </w:p>
    <w:tbl>
      <w:tblPr>
        <w:tblStyle w:val="TableGrid"/>
        <w:tblW w:w="0" w:type="auto"/>
        <w:jc w:val="center"/>
        <w:tblInd w:w="1242" w:type="dxa"/>
        <w:tblLook w:val="04A0" w:firstRow="1" w:lastRow="0" w:firstColumn="1" w:lastColumn="0" w:noHBand="0" w:noVBand="1"/>
      </w:tblPr>
      <w:tblGrid>
        <w:gridCol w:w="3261"/>
        <w:gridCol w:w="1559"/>
        <w:gridCol w:w="1843"/>
        <w:gridCol w:w="1337"/>
      </w:tblGrid>
      <w:tr w:rsidR="002A064F" w:rsidRPr="005E017F" w:rsidTr="009338FD">
        <w:trPr>
          <w:jc w:val="center"/>
        </w:trPr>
        <w:tc>
          <w:tcPr>
            <w:tcW w:w="3261" w:type="dxa"/>
          </w:tcPr>
          <w:p w:rsidR="002A064F" w:rsidRPr="003E05A0" w:rsidRDefault="002A064F"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Variables</w:t>
            </w:r>
          </w:p>
        </w:tc>
        <w:tc>
          <w:tcPr>
            <w:tcW w:w="1559" w:type="dxa"/>
          </w:tcPr>
          <w:p w:rsidR="002A064F" w:rsidRPr="003E05A0" w:rsidRDefault="002A064F" w:rsidP="002A064F">
            <w:pPr>
              <w:jc w:val="cente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R Square</w:t>
            </w:r>
          </w:p>
        </w:tc>
        <w:tc>
          <w:tcPr>
            <w:tcW w:w="1843" w:type="dxa"/>
          </w:tcPr>
          <w:p w:rsidR="002A064F" w:rsidRPr="003E05A0" w:rsidRDefault="002A064F" w:rsidP="002A064F">
            <w:pPr>
              <w:jc w:val="cente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Adj. R Square</w:t>
            </w:r>
          </w:p>
        </w:tc>
        <w:tc>
          <w:tcPr>
            <w:tcW w:w="1337" w:type="dxa"/>
          </w:tcPr>
          <w:p w:rsidR="002A064F" w:rsidRPr="003E05A0" w:rsidRDefault="002A064F"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Q Square</w:t>
            </w:r>
          </w:p>
        </w:tc>
      </w:tr>
      <w:tr w:rsidR="002A064F" w:rsidRPr="005E017F" w:rsidTr="009338FD">
        <w:trPr>
          <w:jc w:val="center"/>
        </w:trPr>
        <w:tc>
          <w:tcPr>
            <w:tcW w:w="3261" w:type="dxa"/>
          </w:tcPr>
          <w:p w:rsidR="002A064F" w:rsidRPr="003E05A0" w:rsidRDefault="002A064F"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Agility</w:t>
            </w:r>
          </w:p>
        </w:tc>
        <w:tc>
          <w:tcPr>
            <w:tcW w:w="1559"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0.404</w:t>
            </w:r>
          </w:p>
        </w:tc>
        <w:tc>
          <w:tcPr>
            <w:tcW w:w="1843"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0.397</w:t>
            </w:r>
          </w:p>
        </w:tc>
        <w:tc>
          <w:tcPr>
            <w:tcW w:w="1337"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0.353</w:t>
            </w:r>
          </w:p>
        </w:tc>
      </w:tr>
      <w:tr w:rsidR="002A064F" w:rsidRPr="005E017F" w:rsidTr="009338FD">
        <w:trPr>
          <w:jc w:val="center"/>
        </w:trPr>
        <w:tc>
          <w:tcPr>
            <w:tcW w:w="3261" w:type="dxa"/>
          </w:tcPr>
          <w:p w:rsidR="002A064F" w:rsidRPr="003E05A0" w:rsidRDefault="002A064F" w:rsidP="002A064F">
            <w:pP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Resource Orchestration Capability</w:t>
            </w:r>
          </w:p>
        </w:tc>
        <w:tc>
          <w:tcPr>
            <w:tcW w:w="1559"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0.349</w:t>
            </w:r>
          </w:p>
        </w:tc>
        <w:tc>
          <w:tcPr>
            <w:tcW w:w="1843"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0.347</w:t>
            </w:r>
          </w:p>
        </w:tc>
        <w:tc>
          <w:tcPr>
            <w:tcW w:w="1337"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0.397</w:t>
            </w:r>
          </w:p>
        </w:tc>
      </w:tr>
      <w:tr w:rsidR="002A064F" w:rsidRPr="005E017F" w:rsidTr="009338FD">
        <w:trPr>
          <w:jc w:val="center"/>
        </w:trPr>
        <w:tc>
          <w:tcPr>
            <w:tcW w:w="3261" w:type="dxa"/>
          </w:tcPr>
          <w:p w:rsidR="002A064F" w:rsidRPr="003E05A0" w:rsidRDefault="002A064F" w:rsidP="00DC73C4">
            <w:pP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Organizational Resilience</w:t>
            </w:r>
          </w:p>
        </w:tc>
        <w:tc>
          <w:tcPr>
            <w:tcW w:w="1559"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0.485</w:t>
            </w:r>
          </w:p>
        </w:tc>
        <w:tc>
          <w:tcPr>
            <w:tcW w:w="1843"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0.481</w:t>
            </w:r>
          </w:p>
        </w:tc>
        <w:tc>
          <w:tcPr>
            <w:tcW w:w="1337"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0.312</w:t>
            </w:r>
          </w:p>
        </w:tc>
      </w:tr>
    </w:tbl>
    <w:p w:rsidR="002A064F" w:rsidRDefault="002A064F" w:rsidP="002A064F">
      <w:pPr>
        <w:spacing w:line="480" w:lineRule="auto"/>
        <w:jc w:val="both"/>
        <w:rPr>
          <w:rFonts w:ascii="Times New Roman" w:eastAsia="Times New Roman" w:hAnsi="Times New Roman" w:cs="Times New Roman"/>
          <w:b/>
          <w:sz w:val="24"/>
          <w:szCs w:val="24"/>
        </w:rPr>
      </w:pPr>
    </w:p>
    <w:p w:rsidR="002A064F" w:rsidRPr="002A064F" w:rsidRDefault="002A064F" w:rsidP="002A064F">
      <w:pPr>
        <w:spacing w:line="480" w:lineRule="auto"/>
        <w:jc w:val="both"/>
        <w:rPr>
          <w:rFonts w:ascii="Times New Roman" w:eastAsia="Times New Roman" w:hAnsi="Times New Roman" w:cs="Times New Roman"/>
          <w:b/>
          <w:sz w:val="24"/>
          <w:szCs w:val="24"/>
        </w:rPr>
      </w:pPr>
      <w:r w:rsidRPr="002A064F">
        <w:rPr>
          <w:rFonts w:ascii="Times New Roman" w:eastAsia="Times New Roman" w:hAnsi="Times New Roman" w:cs="Times New Roman"/>
          <w:b/>
          <w:sz w:val="24"/>
          <w:szCs w:val="24"/>
        </w:rPr>
        <w:t>Table 6: Results</w:t>
      </w:r>
    </w:p>
    <w:tbl>
      <w:tblPr>
        <w:tblStyle w:val="TableGrid"/>
        <w:tblW w:w="0" w:type="auto"/>
        <w:jc w:val="center"/>
        <w:tblInd w:w="714" w:type="dxa"/>
        <w:tblLook w:val="04A0" w:firstRow="1" w:lastRow="0" w:firstColumn="1" w:lastColumn="0" w:noHBand="0" w:noVBand="1"/>
      </w:tblPr>
      <w:tblGrid>
        <w:gridCol w:w="1390"/>
        <w:gridCol w:w="1905"/>
        <w:gridCol w:w="1040"/>
        <w:gridCol w:w="847"/>
        <w:gridCol w:w="987"/>
        <w:gridCol w:w="982"/>
        <w:gridCol w:w="1377"/>
      </w:tblGrid>
      <w:tr w:rsidR="002A064F" w:rsidRPr="005E017F" w:rsidTr="00BA7464">
        <w:trPr>
          <w:jc w:val="center"/>
        </w:trPr>
        <w:tc>
          <w:tcPr>
            <w:tcW w:w="1390" w:type="dxa"/>
          </w:tcPr>
          <w:p w:rsidR="002A064F" w:rsidRPr="003E05A0" w:rsidRDefault="002A064F"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Hypotheses</w:t>
            </w:r>
          </w:p>
        </w:tc>
        <w:tc>
          <w:tcPr>
            <w:tcW w:w="1905" w:type="dxa"/>
          </w:tcPr>
          <w:p w:rsidR="002A064F" w:rsidRPr="003E05A0" w:rsidRDefault="002A064F"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Relationship</w:t>
            </w:r>
          </w:p>
        </w:tc>
        <w:tc>
          <w:tcPr>
            <w:tcW w:w="1040" w:type="dxa"/>
          </w:tcPr>
          <w:p w:rsidR="002A064F" w:rsidRPr="003E05A0" w:rsidRDefault="002A064F" w:rsidP="002A064F">
            <w:pPr>
              <w:jc w:val="cente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F</w:t>
            </w:r>
            <w:r w:rsidRPr="003E05A0">
              <w:rPr>
                <w:rFonts w:ascii="Times New Roman" w:eastAsia="Times New Roman" w:hAnsi="Times New Roman" w:cs="Times New Roman"/>
                <w:b/>
                <w:sz w:val="24"/>
                <w:szCs w:val="24"/>
                <w:vertAlign w:val="superscript"/>
              </w:rPr>
              <w:t>2</w:t>
            </w:r>
          </w:p>
        </w:tc>
        <w:tc>
          <w:tcPr>
            <w:tcW w:w="847" w:type="dxa"/>
          </w:tcPr>
          <w:p w:rsidR="002A064F" w:rsidRPr="003E05A0" w:rsidRDefault="002A064F" w:rsidP="002A064F">
            <w:pPr>
              <w:jc w:val="cente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β</w:t>
            </w:r>
          </w:p>
        </w:tc>
        <w:tc>
          <w:tcPr>
            <w:tcW w:w="987" w:type="dxa"/>
          </w:tcPr>
          <w:p w:rsidR="002A064F" w:rsidRPr="003E05A0" w:rsidRDefault="002A064F" w:rsidP="002A064F">
            <w:pPr>
              <w:jc w:val="cente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t-value</w:t>
            </w:r>
          </w:p>
        </w:tc>
        <w:tc>
          <w:tcPr>
            <w:tcW w:w="982" w:type="dxa"/>
          </w:tcPr>
          <w:p w:rsidR="002A064F" w:rsidRPr="003E05A0" w:rsidRDefault="002A064F" w:rsidP="002A064F">
            <w:pPr>
              <w:jc w:val="center"/>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p-value</w:t>
            </w:r>
          </w:p>
        </w:tc>
        <w:tc>
          <w:tcPr>
            <w:tcW w:w="1377" w:type="dxa"/>
          </w:tcPr>
          <w:p w:rsidR="002A064F" w:rsidRPr="003E05A0" w:rsidRDefault="002804E4" w:rsidP="002A06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Result</w:t>
            </w:r>
          </w:p>
        </w:tc>
      </w:tr>
      <w:tr w:rsidR="002A064F" w:rsidRPr="005E017F" w:rsidTr="00BA7464">
        <w:trPr>
          <w:jc w:val="center"/>
        </w:trPr>
        <w:tc>
          <w:tcPr>
            <w:tcW w:w="1390" w:type="dxa"/>
          </w:tcPr>
          <w:p w:rsidR="002A064F" w:rsidRPr="003E05A0" w:rsidRDefault="002A064F"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H1</w:t>
            </w:r>
          </w:p>
        </w:tc>
        <w:tc>
          <w:tcPr>
            <w:tcW w:w="1905" w:type="dxa"/>
          </w:tcPr>
          <w:p w:rsidR="002A064F" w:rsidRPr="003E05A0" w:rsidRDefault="003C1E97" w:rsidP="002A064F">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AD</w:t>
            </w:r>
            <w:r w:rsidR="002A064F" w:rsidRPr="003E05A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AG</w:t>
            </w:r>
          </w:p>
        </w:tc>
        <w:tc>
          <w:tcPr>
            <w:tcW w:w="1040"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0.306</w:t>
            </w:r>
          </w:p>
        </w:tc>
        <w:tc>
          <w:tcPr>
            <w:tcW w:w="847"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0.473</w:t>
            </w:r>
          </w:p>
        </w:tc>
        <w:tc>
          <w:tcPr>
            <w:tcW w:w="987"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5.998</w:t>
            </w:r>
          </w:p>
        </w:tc>
        <w:tc>
          <w:tcPr>
            <w:tcW w:w="982" w:type="dxa"/>
          </w:tcPr>
          <w:p w:rsidR="002A064F" w:rsidRPr="003E05A0" w:rsidRDefault="002A064F"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0.000</w:t>
            </w:r>
          </w:p>
        </w:tc>
        <w:tc>
          <w:tcPr>
            <w:tcW w:w="1377" w:type="dxa"/>
          </w:tcPr>
          <w:p w:rsidR="002A064F" w:rsidRPr="003E05A0" w:rsidRDefault="002804E4" w:rsidP="002804E4">
            <w:pPr>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Accepted</w:t>
            </w:r>
          </w:p>
        </w:tc>
      </w:tr>
      <w:tr w:rsidR="002804E4" w:rsidRPr="005E017F" w:rsidTr="00BA7464">
        <w:trPr>
          <w:jc w:val="center"/>
        </w:trPr>
        <w:tc>
          <w:tcPr>
            <w:tcW w:w="1390" w:type="dxa"/>
          </w:tcPr>
          <w:p w:rsidR="002804E4" w:rsidRPr="003E05A0" w:rsidRDefault="002804E4"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H2</w:t>
            </w:r>
          </w:p>
        </w:tc>
        <w:tc>
          <w:tcPr>
            <w:tcW w:w="1905" w:type="dxa"/>
          </w:tcPr>
          <w:p w:rsidR="002804E4" w:rsidRPr="003E05A0" w:rsidRDefault="002804E4" w:rsidP="002A064F">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w:t>
            </w:r>
            <w:r w:rsidRPr="003E05A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OR</w:t>
            </w:r>
          </w:p>
        </w:tc>
        <w:tc>
          <w:tcPr>
            <w:tcW w:w="1040"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0.047</w:t>
            </w:r>
          </w:p>
        </w:tc>
        <w:tc>
          <w:tcPr>
            <w:tcW w:w="84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0.180</w:t>
            </w:r>
          </w:p>
        </w:tc>
        <w:tc>
          <w:tcPr>
            <w:tcW w:w="98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2.860</w:t>
            </w:r>
          </w:p>
        </w:tc>
        <w:tc>
          <w:tcPr>
            <w:tcW w:w="982"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0.004</w:t>
            </w:r>
          </w:p>
        </w:tc>
        <w:tc>
          <w:tcPr>
            <w:tcW w:w="1377" w:type="dxa"/>
          </w:tcPr>
          <w:p w:rsidR="002804E4" w:rsidRDefault="002804E4" w:rsidP="002804E4">
            <w:pPr>
              <w:jc w:val="center"/>
            </w:pPr>
            <w:r w:rsidRPr="00B36B4B">
              <w:rPr>
                <w:rFonts w:ascii="Times New Roman" w:eastAsia="Times New Roman" w:hAnsi="Times New Roman" w:cs="Times New Roman"/>
                <w:bCs/>
                <w:sz w:val="24"/>
                <w:szCs w:val="24"/>
              </w:rPr>
              <w:t>Accepted</w:t>
            </w:r>
          </w:p>
        </w:tc>
      </w:tr>
      <w:tr w:rsidR="002804E4" w:rsidRPr="005E017F" w:rsidTr="00BA7464">
        <w:trPr>
          <w:jc w:val="center"/>
        </w:trPr>
        <w:tc>
          <w:tcPr>
            <w:tcW w:w="1390" w:type="dxa"/>
          </w:tcPr>
          <w:p w:rsidR="002804E4" w:rsidRPr="003E05A0" w:rsidRDefault="002804E4"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H3</w:t>
            </w:r>
          </w:p>
        </w:tc>
        <w:tc>
          <w:tcPr>
            <w:tcW w:w="1905" w:type="dxa"/>
          </w:tcPr>
          <w:p w:rsidR="002804E4" w:rsidRPr="003E05A0" w:rsidRDefault="002804E4" w:rsidP="002A064F">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w:t>
            </w:r>
            <w:r w:rsidRPr="003E05A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ROC</w:t>
            </w:r>
          </w:p>
        </w:tc>
        <w:tc>
          <w:tcPr>
            <w:tcW w:w="1040"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0.566</w:t>
            </w:r>
          </w:p>
        </w:tc>
        <w:tc>
          <w:tcPr>
            <w:tcW w:w="84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0.591</w:t>
            </w:r>
          </w:p>
        </w:tc>
        <w:tc>
          <w:tcPr>
            <w:tcW w:w="98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10.758</w:t>
            </w:r>
          </w:p>
        </w:tc>
        <w:tc>
          <w:tcPr>
            <w:tcW w:w="982"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0.000</w:t>
            </w:r>
          </w:p>
        </w:tc>
        <w:tc>
          <w:tcPr>
            <w:tcW w:w="1377" w:type="dxa"/>
          </w:tcPr>
          <w:p w:rsidR="002804E4" w:rsidRDefault="002804E4" w:rsidP="002804E4">
            <w:pPr>
              <w:jc w:val="center"/>
            </w:pPr>
            <w:r w:rsidRPr="00B36B4B">
              <w:rPr>
                <w:rFonts w:ascii="Times New Roman" w:eastAsia="Times New Roman" w:hAnsi="Times New Roman" w:cs="Times New Roman"/>
                <w:bCs/>
                <w:sz w:val="24"/>
                <w:szCs w:val="24"/>
              </w:rPr>
              <w:t>Accepted</w:t>
            </w:r>
          </w:p>
        </w:tc>
      </w:tr>
      <w:tr w:rsidR="002804E4" w:rsidRPr="005E017F" w:rsidTr="00BA7464">
        <w:trPr>
          <w:jc w:val="center"/>
        </w:trPr>
        <w:tc>
          <w:tcPr>
            <w:tcW w:w="1390" w:type="dxa"/>
          </w:tcPr>
          <w:p w:rsidR="002804E4" w:rsidRPr="003E05A0" w:rsidRDefault="002804E4"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H4</w:t>
            </w:r>
          </w:p>
        </w:tc>
        <w:tc>
          <w:tcPr>
            <w:tcW w:w="1905" w:type="dxa"/>
          </w:tcPr>
          <w:p w:rsidR="002804E4" w:rsidRPr="003E05A0" w:rsidRDefault="002804E4"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ROC-</w:t>
            </w:r>
            <w:r>
              <w:rPr>
                <w:rFonts w:ascii="Times New Roman" w:eastAsia="Times New Roman" w:hAnsi="Times New Roman" w:cs="Times New Roman"/>
                <w:b/>
                <w:sz w:val="24"/>
                <w:szCs w:val="24"/>
              </w:rPr>
              <w:t>OR</w:t>
            </w:r>
          </w:p>
        </w:tc>
        <w:tc>
          <w:tcPr>
            <w:tcW w:w="1040"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0.438</w:t>
            </w:r>
          </w:p>
        </w:tc>
        <w:tc>
          <w:tcPr>
            <w:tcW w:w="84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0.575</w:t>
            </w:r>
          </w:p>
        </w:tc>
        <w:tc>
          <w:tcPr>
            <w:tcW w:w="98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9.295</w:t>
            </w:r>
          </w:p>
        </w:tc>
        <w:tc>
          <w:tcPr>
            <w:tcW w:w="982"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0.000</w:t>
            </w:r>
          </w:p>
        </w:tc>
        <w:tc>
          <w:tcPr>
            <w:tcW w:w="1377" w:type="dxa"/>
          </w:tcPr>
          <w:p w:rsidR="002804E4" w:rsidRDefault="002804E4" w:rsidP="002804E4">
            <w:pPr>
              <w:jc w:val="center"/>
            </w:pPr>
            <w:r w:rsidRPr="00B36B4B">
              <w:rPr>
                <w:rFonts w:ascii="Times New Roman" w:eastAsia="Times New Roman" w:hAnsi="Times New Roman" w:cs="Times New Roman"/>
                <w:bCs/>
                <w:sz w:val="24"/>
                <w:szCs w:val="24"/>
              </w:rPr>
              <w:t>Accepted</w:t>
            </w:r>
          </w:p>
        </w:tc>
      </w:tr>
      <w:tr w:rsidR="002804E4" w:rsidRPr="005E017F" w:rsidTr="00BA7464">
        <w:trPr>
          <w:jc w:val="center"/>
        </w:trPr>
        <w:tc>
          <w:tcPr>
            <w:tcW w:w="1390" w:type="dxa"/>
          </w:tcPr>
          <w:p w:rsidR="002804E4" w:rsidRPr="003E05A0" w:rsidRDefault="002804E4" w:rsidP="002A064F">
            <w:pPr>
              <w:jc w:val="both"/>
              <w:rPr>
                <w:rFonts w:ascii="Times New Roman" w:eastAsia="Times New Roman" w:hAnsi="Times New Roman" w:cs="Times New Roman"/>
                <w:b/>
                <w:sz w:val="24"/>
                <w:szCs w:val="24"/>
              </w:rPr>
            </w:pPr>
            <w:r w:rsidRPr="003E05A0">
              <w:rPr>
                <w:rFonts w:ascii="Times New Roman" w:eastAsia="Times New Roman" w:hAnsi="Times New Roman" w:cs="Times New Roman"/>
                <w:b/>
                <w:sz w:val="24"/>
                <w:szCs w:val="24"/>
              </w:rPr>
              <w:t>H5</w:t>
            </w:r>
          </w:p>
        </w:tc>
        <w:tc>
          <w:tcPr>
            <w:tcW w:w="1905" w:type="dxa"/>
          </w:tcPr>
          <w:p w:rsidR="002804E4" w:rsidRPr="003E05A0" w:rsidRDefault="002804E4" w:rsidP="002A064F">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ENVD</w:t>
            </w:r>
            <w:r w:rsidRPr="003E05A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AD</w:t>
            </w:r>
            <w:r w:rsidRPr="003E05A0">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AG</w:t>
            </w:r>
          </w:p>
        </w:tc>
        <w:tc>
          <w:tcPr>
            <w:tcW w:w="1040"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0.047</w:t>
            </w:r>
          </w:p>
        </w:tc>
        <w:tc>
          <w:tcPr>
            <w:tcW w:w="84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0.148</w:t>
            </w:r>
          </w:p>
        </w:tc>
        <w:tc>
          <w:tcPr>
            <w:tcW w:w="987"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2.031</w:t>
            </w:r>
          </w:p>
        </w:tc>
        <w:tc>
          <w:tcPr>
            <w:tcW w:w="982" w:type="dxa"/>
          </w:tcPr>
          <w:p w:rsidR="002804E4" w:rsidRPr="003E05A0" w:rsidRDefault="002804E4" w:rsidP="002A064F">
            <w:pPr>
              <w:jc w:val="center"/>
              <w:rPr>
                <w:rFonts w:ascii="Times New Roman" w:eastAsia="Times New Roman" w:hAnsi="Times New Roman" w:cs="Times New Roman"/>
                <w:bCs/>
                <w:sz w:val="24"/>
                <w:szCs w:val="24"/>
              </w:rPr>
            </w:pPr>
            <w:r w:rsidRPr="003E05A0">
              <w:rPr>
                <w:rFonts w:ascii="Times New Roman" w:eastAsia="Times New Roman" w:hAnsi="Times New Roman" w:cs="Times New Roman"/>
                <w:bCs/>
                <w:sz w:val="24"/>
                <w:szCs w:val="24"/>
              </w:rPr>
              <w:t>0.042</w:t>
            </w:r>
          </w:p>
        </w:tc>
        <w:tc>
          <w:tcPr>
            <w:tcW w:w="1377" w:type="dxa"/>
          </w:tcPr>
          <w:p w:rsidR="002804E4" w:rsidRDefault="002804E4" w:rsidP="002804E4">
            <w:pPr>
              <w:jc w:val="center"/>
            </w:pPr>
            <w:r w:rsidRPr="00B36B4B">
              <w:rPr>
                <w:rFonts w:ascii="Times New Roman" w:eastAsia="Times New Roman" w:hAnsi="Times New Roman" w:cs="Times New Roman"/>
                <w:bCs/>
                <w:sz w:val="24"/>
                <w:szCs w:val="24"/>
              </w:rPr>
              <w:t>Accepted</w:t>
            </w:r>
          </w:p>
        </w:tc>
      </w:tr>
    </w:tbl>
    <w:p w:rsidR="002A064F" w:rsidRPr="004E5E9F" w:rsidRDefault="002A064F" w:rsidP="002A064F">
      <w:pPr>
        <w:pStyle w:val="ListParagraph"/>
        <w:autoSpaceDE w:val="0"/>
        <w:autoSpaceDN w:val="0"/>
        <w:adjustRightInd w:val="0"/>
        <w:spacing w:after="0" w:line="480" w:lineRule="auto"/>
        <w:rPr>
          <w:rFonts w:ascii="AdvOT6520a694" w:hAnsi="AdvOT6520a694" w:cs="AdvOT6520a694"/>
          <w:sz w:val="21"/>
          <w:szCs w:val="21"/>
        </w:rPr>
      </w:pPr>
      <w:r w:rsidRPr="004E5E9F">
        <w:rPr>
          <w:rFonts w:ascii="AdvOTc9c0ed35.B" w:hAnsi="AdvOTc9c0ed35.B" w:cs="AdvOTc9c0ed35.B"/>
          <w:sz w:val="21"/>
          <w:szCs w:val="21"/>
        </w:rPr>
        <w:t xml:space="preserve">Notes: </w:t>
      </w:r>
      <w:r w:rsidRPr="004E5E9F">
        <w:rPr>
          <w:rFonts w:ascii="AdvP4C4E74" w:hAnsi="AdvP4C4E74" w:cs="AdvP4C4E74"/>
          <w:sz w:val="16"/>
          <w:szCs w:val="16"/>
        </w:rPr>
        <w:t>*</w:t>
      </w:r>
      <w:r w:rsidRPr="004E5E9F">
        <w:rPr>
          <w:rFonts w:ascii="AdvOT0c2f268a" w:hAnsi="AdvOT0c2f268a" w:cs="AdvOT0c2f268a"/>
          <w:sz w:val="21"/>
          <w:szCs w:val="21"/>
        </w:rPr>
        <w:t xml:space="preserve">p </w:t>
      </w:r>
      <w:r w:rsidRPr="004E5E9F">
        <w:rPr>
          <w:rFonts w:ascii="AdvP4C4E51" w:hAnsi="AdvP4C4E51" w:cs="AdvP4C4E51"/>
          <w:sz w:val="21"/>
          <w:szCs w:val="21"/>
        </w:rPr>
        <w:t xml:space="preserve">&lt; </w:t>
      </w:r>
      <w:r w:rsidRPr="004E5E9F">
        <w:rPr>
          <w:rFonts w:ascii="AdvOT6520a694" w:hAnsi="AdvOT6520a694" w:cs="AdvOT6520a694"/>
          <w:sz w:val="21"/>
          <w:szCs w:val="21"/>
        </w:rPr>
        <w:t xml:space="preserve">0.05; </w:t>
      </w:r>
      <w:r w:rsidRPr="004E5E9F">
        <w:rPr>
          <w:rFonts w:ascii="AdvP4C4E74" w:hAnsi="AdvP4C4E74" w:cs="AdvP4C4E74"/>
          <w:sz w:val="16"/>
          <w:szCs w:val="16"/>
        </w:rPr>
        <w:t>**</w:t>
      </w:r>
      <w:r w:rsidRPr="004E5E9F">
        <w:rPr>
          <w:rFonts w:ascii="AdvOT0c2f268a" w:hAnsi="AdvOT0c2f268a" w:cs="AdvOT0c2f268a"/>
          <w:sz w:val="21"/>
          <w:szCs w:val="21"/>
        </w:rPr>
        <w:t xml:space="preserve">p </w:t>
      </w:r>
      <w:r w:rsidRPr="004E5E9F">
        <w:rPr>
          <w:rFonts w:ascii="AdvP4C4E51" w:hAnsi="AdvP4C4E51" w:cs="AdvP4C4E51"/>
          <w:sz w:val="21"/>
          <w:szCs w:val="21"/>
        </w:rPr>
        <w:t xml:space="preserve">&lt; </w:t>
      </w:r>
      <w:r w:rsidRPr="004E5E9F">
        <w:rPr>
          <w:rFonts w:ascii="AdvOT6520a694" w:hAnsi="AdvOT6520a694" w:cs="AdvOT6520a694"/>
          <w:sz w:val="21"/>
          <w:szCs w:val="21"/>
        </w:rPr>
        <w:t xml:space="preserve">0.01; </w:t>
      </w:r>
      <w:r w:rsidRPr="004E5E9F">
        <w:rPr>
          <w:rFonts w:ascii="AdvP4C4E74" w:hAnsi="AdvP4C4E74" w:cs="AdvP4C4E74"/>
          <w:sz w:val="16"/>
          <w:szCs w:val="16"/>
        </w:rPr>
        <w:t>***</w:t>
      </w:r>
      <w:r w:rsidRPr="004E5E9F">
        <w:rPr>
          <w:rFonts w:ascii="AdvOT0c2f268a" w:hAnsi="AdvOT0c2f268a" w:cs="AdvOT0c2f268a"/>
          <w:sz w:val="21"/>
          <w:szCs w:val="21"/>
        </w:rPr>
        <w:t xml:space="preserve">p </w:t>
      </w:r>
      <w:r w:rsidRPr="004E5E9F">
        <w:rPr>
          <w:rFonts w:ascii="AdvP4C4E51" w:hAnsi="AdvP4C4E51" w:cs="AdvP4C4E51"/>
          <w:sz w:val="21"/>
          <w:szCs w:val="21"/>
        </w:rPr>
        <w:t xml:space="preserve">&lt; </w:t>
      </w:r>
      <w:r w:rsidRPr="004E5E9F">
        <w:rPr>
          <w:rFonts w:ascii="AdvOT6520a694" w:hAnsi="AdvOT6520a694" w:cs="AdvOT6520a694"/>
          <w:sz w:val="21"/>
          <w:szCs w:val="21"/>
        </w:rPr>
        <w:t>0.001</w:t>
      </w:r>
    </w:p>
    <w:p w:rsidR="002A064F" w:rsidRDefault="002A064F" w:rsidP="002A064F">
      <w:pPr>
        <w:pStyle w:val="ListParagraph"/>
        <w:spacing w:line="480" w:lineRule="auto"/>
        <w:jc w:val="both"/>
        <w:rPr>
          <w:rFonts w:ascii="AdvOT6520a694" w:hAnsi="AdvOT6520a694" w:cs="AdvOT6520a694"/>
          <w:sz w:val="21"/>
          <w:szCs w:val="21"/>
        </w:rPr>
      </w:pPr>
      <w:r w:rsidRPr="004E5E9F">
        <w:rPr>
          <w:rFonts w:ascii="AdvOTc9c0ed35.B" w:hAnsi="AdvOTc9c0ed35.B" w:cs="AdvOTc9c0ed35.B"/>
          <w:sz w:val="21"/>
          <w:szCs w:val="21"/>
        </w:rPr>
        <w:t xml:space="preserve">Source: </w:t>
      </w:r>
      <w:r w:rsidRPr="004E5E9F">
        <w:rPr>
          <w:rFonts w:ascii="AdvOT6520a694" w:hAnsi="AdvOT6520a694" w:cs="AdvOT6520a694"/>
          <w:sz w:val="21"/>
          <w:szCs w:val="21"/>
        </w:rPr>
        <w:t>Authors</w:t>
      </w:r>
      <w:r w:rsidRPr="004E5E9F">
        <w:rPr>
          <w:rFonts w:ascii="AdvOT6520a694+20" w:hAnsi="AdvOT6520a694+20" w:cs="AdvOT6520a694+20"/>
          <w:sz w:val="21"/>
          <w:szCs w:val="21"/>
        </w:rPr>
        <w:t xml:space="preserve">’ </w:t>
      </w:r>
      <w:r w:rsidRPr="004E5E9F">
        <w:rPr>
          <w:rFonts w:ascii="AdvOT6520a694" w:hAnsi="AdvOT6520a694" w:cs="AdvOT6520a694"/>
          <w:sz w:val="21"/>
          <w:szCs w:val="21"/>
        </w:rPr>
        <w:t>own work</w:t>
      </w:r>
    </w:p>
    <w:p w:rsidR="002A064F" w:rsidRDefault="002A064F" w:rsidP="002A064F">
      <w:pPr>
        <w:pStyle w:val="ListParagraph"/>
        <w:spacing w:line="480" w:lineRule="auto"/>
        <w:jc w:val="both"/>
        <w:rPr>
          <w:rFonts w:ascii="AdvOT6520a694" w:hAnsi="AdvOT6520a694" w:cs="AdvOT6520a694"/>
          <w:sz w:val="21"/>
          <w:szCs w:val="21"/>
        </w:rPr>
      </w:pPr>
    </w:p>
    <w:p w:rsidR="002A064F" w:rsidRDefault="002A064F" w:rsidP="002A064F">
      <w:pPr>
        <w:spacing w:after="0" w:line="480" w:lineRule="auto"/>
        <w:jc w:val="both"/>
        <w:rPr>
          <w:rFonts w:ascii="Times New Roman" w:eastAsia="Times New Roman" w:hAnsi="Times New Roman" w:cs="Times New Roman"/>
          <w:b/>
          <w:sz w:val="26"/>
          <w:szCs w:val="26"/>
        </w:rPr>
      </w:pPr>
      <w:proofErr w:type="gramStart"/>
      <w:r>
        <w:rPr>
          <w:rFonts w:ascii="Times New Roman" w:eastAsia="Times New Roman" w:hAnsi="Times New Roman" w:cs="Times New Roman"/>
          <w:b/>
          <w:sz w:val="26"/>
          <w:szCs w:val="26"/>
        </w:rPr>
        <w:lastRenderedPageBreak/>
        <w:t>Table 7.</w:t>
      </w:r>
      <w:proofErr w:type="gramEnd"/>
      <w:r>
        <w:rPr>
          <w:rFonts w:ascii="Times New Roman" w:eastAsia="Times New Roman" w:hAnsi="Times New Roman" w:cs="Times New Roman"/>
          <w:b/>
          <w:sz w:val="26"/>
          <w:szCs w:val="26"/>
        </w:rPr>
        <w:t xml:space="preserve"> Model Fit (All Factors)</w:t>
      </w:r>
    </w:p>
    <w:tbl>
      <w:tblPr>
        <w:tblW w:w="9726" w:type="dxa"/>
        <w:tblInd w:w="-34" w:type="dxa"/>
        <w:tblLook w:val="04A0" w:firstRow="1" w:lastRow="0" w:firstColumn="1" w:lastColumn="0" w:noHBand="0" w:noVBand="1"/>
      </w:tblPr>
      <w:tblGrid>
        <w:gridCol w:w="2269"/>
        <w:gridCol w:w="1417"/>
        <w:gridCol w:w="709"/>
        <w:gridCol w:w="576"/>
        <w:gridCol w:w="992"/>
        <w:gridCol w:w="1011"/>
        <w:gridCol w:w="974"/>
        <w:gridCol w:w="889"/>
        <w:gridCol w:w="889"/>
      </w:tblGrid>
      <w:tr w:rsidR="002A064F" w:rsidRPr="007B71DE" w:rsidTr="009338FD">
        <w:trPr>
          <w:trHeight w:val="300"/>
        </w:trPr>
        <w:tc>
          <w:tcPr>
            <w:tcW w:w="22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rPr>
                <w:rFonts w:ascii="Arial" w:eastAsia="Times New Roman" w:hAnsi="Arial" w:cs="Arial"/>
                <w:color w:val="000000"/>
              </w:rPr>
            </w:pPr>
            <w:r w:rsidRPr="007B71DE">
              <w:rPr>
                <w:rFonts w:ascii="Arial" w:eastAsia="Times New Roman" w:hAnsi="Arial" w:cs="Arial"/>
                <w:color w:val="000000"/>
              </w:rPr>
              <w:t> </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r w:rsidRPr="007B71DE">
              <w:rPr>
                <w:rFonts w:ascii="Aptos Narrow" w:eastAsia="Times New Roman" w:hAnsi="Aptos Narrow" w:cs="Arial"/>
                <w:b/>
                <w:bCs/>
                <w:color w:val="000000"/>
              </w:rPr>
              <w:t>Model</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r>
              <w:rPr>
                <w:rFonts w:ascii="Times New Roman" w:eastAsia="Times New Roman" w:hAnsi="Times New Roman" w:cs="Times New Roman"/>
                <w:b/>
                <w:i/>
                <w:sz w:val="24"/>
                <w:szCs w:val="24"/>
              </w:rPr>
              <w:t>X</w:t>
            </w:r>
            <w:r>
              <w:rPr>
                <w:rFonts w:ascii="Times New Roman" w:eastAsia="Times New Roman" w:hAnsi="Times New Roman" w:cs="Times New Roman"/>
                <w:b/>
                <w:i/>
                <w:sz w:val="24"/>
                <w:szCs w:val="24"/>
                <w:vertAlign w:val="superscript"/>
              </w:rPr>
              <w:t>2</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proofErr w:type="spellStart"/>
            <w:r>
              <w:rPr>
                <w:rFonts w:ascii="Times New Roman" w:eastAsia="Times New Roman" w:hAnsi="Times New Roman" w:cs="Times New Roman"/>
                <w:b/>
                <w:sz w:val="24"/>
                <w:szCs w:val="24"/>
              </w:rPr>
              <w:t>df</w:t>
            </w:r>
            <w:proofErr w:type="spellEnd"/>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r>
              <w:rPr>
                <w:rFonts w:ascii="Times New Roman" w:eastAsia="Times New Roman" w:hAnsi="Times New Roman" w:cs="Times New Roman"/>
                <w:b/>
                <w:i/>
                <w:sz w:val="24"/>
                <w:szCs w:val="24"/>
              </w:rPr>
              <w:t>X</w:t>
            </w:r>
            <w:r>
              <w:rPr>
                <w:rFonts w:ascii="Times New Roman" w:eastAsia="Times New Roman" w:hAnsi="Times New Roman" w:cs="Times New Roman"/>
                <w:b/>
                <w:i/>
                <w:sz w:val="24"/>
                <w:szCs w:val="24"/>
                <w:vertAlign w:val="superscript"/>
              </w:rPr>
              <w:t>2</w:t>
            </w:r>
            <w:r>
              <w:rPr>
                <w:rFonts w:ascii="Times New Roman" w:eastAsia="Times New Roman" w:hAnsi="Times New Roman" w:cs="Times New Roman"/>
                <w:b/>
                <w:i/>
                <w:sz w:val="24"/>
                <w:szCs w:val="24"/>
              </w:rPr>
              <w:t>/</w:t>
            </w:r>
            <w:proofErr w:type="spellStart"/>
            <w:r>
              <w:rPr>
                <w:rFonts w:ascii="Times New Roman" w:eastAsia="Times New Roman" w:hAnsi="Times New Roman" w:cs="Times New Roman"/>
                <w:b/>
                <w:i/>
                <w:sz w:val="24"/>
                <w:szCs w:val="24"/>
              </w:rPr>
              <w:t>df</w:t>
            </w:r>
            <w:proofErr w:type="spellEnd"/>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r w:rsidRPr="007B71DE">
              <w:rPr>
                <w:rFonts w:ascii="Aptos Narrow" w:eastAsia="Times New Roman" w:hAnsi="Aptos Narrow" w:cs="Arial"/>
                <w:b/>
                <w:bCs/>
                <w:color w:val="000000"/>
              </w:rPr>
              <w:t>RMSEA</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r w:rsidRPr="007B71DE">
              <w:rPr>
                <w:rFonts w:ascii="Aptos Narrow" w:eastAsia="Times New Roman" w:hAnsi="Aptos Narrow" w:cs="Arial"/>
                <w:b/>
                <w:bCs/>
                <w:color w:val="000000"/>
              </w:rPr>
              <w:t>SRMR</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r w:rsidRPr="007B71DE">
              <w:rPr>
                <w:rFonts w:ascii="Aptos Narrow" w:eastAsia="Times New Roman" w:hAnsi="Aptos Narrow" w:cs="Arial"/>
                <w:b/>
                <w:bCs/>
                <w:color w:val="000000"/>
              </w:rPr>
              <w:t>CFI</w:t>
            </w:r>
          </w:p>
        </w:tc>
        <w:tc>
          <w:tcPr>
            <w:tcW w:w="889" w:type="dxa"/>
            <w:tcBorders>
              <w:top w:val="single" w:sz="4" w:space="0" w:color="auto"/>
              <w:left w:val="nil"/>
              <w:bottom w:val="single" w:sz="4" w:space="0" w:color="auto"/>
              <w:right w:val="single" w:sz="4" w:space="0" w:color="auto"/>
            </w:tcBorders>
            <w:shd w:val="clear" w:color="auto" w:fill="auto"/>
            <w:noWrap/>
            <w:vAlign w:val="bottom"/>
            <w:hideMark/>
          </w:tcPr>
          <w:p w:rsidR="002A064F" w:rsidRPr="007B71DE" w:rsidRDefault="002A064F" w:rsidP="002A064F">
            <w:pPr>
              <w:spacing w:after="0" w:line="240" w:lineRule="auto"/>
              <w:jc w:val="center"/>
              <w:rPr>
                <w:rFonts w:ascii="Aptos Narrow" w:eastAsia="Times New Roman" w:hAnsi="Aptos Narrow" w:cs="Arial"/>
                <w:b/>
                <w:bCs/>
                <w:color w:val="000000"/>
              </w:rPr>
            </w:pPr>
            <w:r w:rsidRPr="007B71DE">
              <w:rPr>
                <w:rFonts w:ascii="Aptos Narrow" w:eastAsia="Times New Roman" w:hAnsi="Aptos Narrow" w:cs="Arial"/>
                <w:b/>
                <w:bCs/>
                <w:color w:val="000000"/>
              </w:rPr>
              <w:t>TLI</w:t>
            </w:r>
          </w:p>
        </w:tc>
      </w:tr>
      <w:tr w:rsidR="002A064F" w:rsidRPr="007B71DE" w:rsidTr="009338FD">
        <w:trPr>
          <w:trHeight w:val="28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5 Factors</w:t>
            </w:r>
          </w:p>
        </w:tc>
        <w:tc>
          <w:tcPr>
            <w:tcW w:w="1417"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five factor</w:t>
            </w:r>
          </w:p>
        </w:tc>
        <w:tc>
          <w:tcPr>
            <w:tcW w:w="70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621</w:t>
            </w:r>
          </w:p>
        </w:tc>
        <w:tc>
          <w:tcPr>
            <w:tcW w:w="576"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314</w:t>
            </w:r>
          </w:p>
        </w:tc>
        <w:tc>
          <w:tcPr>
            <w:tcW w:w="992"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1.978</w:t>
            </w:r>
          </w:p>
        </w:tc>
        <w:tc>
          <w:tcPr>
            <w:tcW w:w="1011"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0.063</w:t>
            </w:r>
          </w:p>
        </w:tc>
        <w:tc>
          <w:tcPr>
            <w:tcW w:w="974"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0.047</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0.935</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0.927</w:t>
            </w:r>
          </w:p>
        </w:tc>
      </w:tr>
      <w:tr w:rsidR="002A064F" w:rsidRPr="007B71DE" w:rsidTr="009338FD">
        <w:trPr>
          <w:trHeight w:val="28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A064F" w:rsidRPr="008D76D7" w:rsidRDefault="00DC73C4" w:rsidP="00027C9A">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All-</w:t>
            </w:r>
            <w:r w:rsidR="00027C9A">
              <w:rPr>
                <w:rFonts w:ascii="Times New Roman" w:eastAsia="Times New Roman" w:hAnsi="Times New Roman" w:cs="Times New Roman"/>
                <w:color w:val="000000"/>
                <w:sz w:val="24"/>
                <w:szCs w:val="24"/>
              </w:rPr>
              <w:t>3 Factors</w:t>
            </w:r>
          </w:p>
        </w:tc>
        <w:tc>
          <w:tcPr>
            <w:tcW w:w="1417"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four factor</w:t>
            </w:r>
          </w:p>
        </w:tc>
        <w:tc>
          <w:tcPr>
            <w:tcW w:w="70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932</w:t>
            </w:r>
          </w:p>
        </w:tc>
        <w:tc>
          <w:tcPr>
            <w:tcW w:w="576"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318</w:t>
            </w:r>
          </w:p>
        </w:tc>
        <w:tc>
          <w:tcPr>
            <w:tcW w:w="992"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2.931</w:t>
            </w:r>
          </w:p>
        </w:tc>
        <w:tc>
          <w:tcPr>
            <w:tcW w:w="1011"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0.088</w:t>
            </w:r>
          </w:p>
        </w:tc>
        <w:tc>
          <w:tcPr>
            <w:tcW w:w="974"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0.057</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0.870</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0.856</w:t>
            </w:r>
          </w:p>
        </w:tc>
      </w:tr>
      <w:tr w:rsidR="002A064F" w:rsidRPr="007B71DE" w:rsidTr="009338FD">
        <w:trPr>
          <w:trHeight w:val="28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A064F" w:rsidRPr="008D76D7" w:rsidRDefault="002A064F" w:rsidP="00027C9A">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All-</w:t>
            </w:r>
            <w:r w:rsidR="00027C9A">
              <w:rPr>
                <w:rFonts w:ascii="Times New Roman" w:eastAsia="Times New Roman" w:hAnsi="Times New Roman" w:cs="Times New Roman"/>
                <w:color w:val="000000"/>
                <w:sz w:val="24"/>
                <w:szCs w:val="24"/>
              </w:rPr>
              <w:t>2 Factors</w:t>
            </w:r>
          </w:p>
        </w:tc>
        <w:tc>
          <w:tcPr>
            <w:tcW w:w="1417"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three factor</w:t>
            </w:r>
          </w:p>
        </w:tc>
        <w:tc>
          <w:tcPr>
            <w:tcW w:w="70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1145</w:t>
            </w:r>
          </w:p>
        </w:tc>
        <w:tc>
          <w:tcPr>
            <w:tcW w:w="576"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321</w:t>
            </w:r>
          </w:p>
        </w:tc>
        <w:tc>
          <w:tcPr>
            <w:tcW w:w="992"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3.567</w:t>
            </w:r>
          </w:p>
        </w:tc>
        <w:tc>
          <w:tcPr>
            <w:tcW w:w="1011"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0.102</w:t>
            </w:r>
          </w:p>
        </w:tc>
        <w:tc>
          <w:tcPr>
            <w:tcW w:w="974"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0.066</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0.825</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0.809</w:t>
            </w:r>
          </w:p>
        </w:tc>
      </w:tr>
      <w:tr w:rsidR="002A064F" w:rsidRPr="007B71DE" w:rsidTr="009338FD">
        <w:trPr>
          <w:trHeight w:val="28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A064F" w:rsidRPr="008D76D7" w:rsidRDefault="002A064F" w:rsidP="00027C9A">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All-</w:t>
            </w:r>
            <w:r w:rsidR="00027C9A">
              <w:rPr>
                <w:rFonts w:ascii="Times New Roman" w:eastAsia="Times New Roman" w:hAnsi="Times New Roman" w:cs="Times New Roman"/>
                <w:color w:val="000000"/>
                <w:sz w:val="24"/>
                <w:szCs w:val="24"/>
              </w:rPr>
              <w:t>1 Factor</w:t>
            </w:r>
          </w:p>
        </w:tc>
        <w:tc>
          <w:tcPr>
            <w:tcW w:w="1417"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two factor</w:t>
            </w:r>
          </w:p>
        </w:tc>
        <w:tc>
          <w:tcPr>
            <w:tcW w:w="70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1388</w:t>
            </w:r>
          </w:p>
        </w:tc>
        <w:tc>
          <w:tcPr>
            <w:tcW w:w="576"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323</w:t>
            </w:r>
          </w:p>
        </w:tc>
        <w:tc>
          <w:tcPr>
            <w:tcW w:w="992"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4.297</w:t>
            </w:r>
          </w:p>
        </w:tc>
        <w:tc>
          <w:tcPr>
            <w:tcW w:w="1011"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0.115</w:t>
            </w:r>
          </w:p>
        </w:tc>
        <w:tc>
          <w:tcPr>
            <w:tcW w:w="974"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0.077</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0.774</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0.754</w:t>
            </w:r>
          </w:p>
        </w:tc>
      </w:tr>
      <w:tr w:rsidR="002A064F" w:rsidRPr="007B71DE" w:rsidTr="009338FD">
        <w:trPr>
          <w:trHeight w:val="285"/>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All</w:t>
            </w:r>
          </w:p>
        </w:tc>
        <w:tc>
          <w:tcPr>
            <w:tcW w:w="1417"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one factor</w:t>
            </w:r>
          </w:p>
        </w:tc>
        <w:tc>
          <w:tcPr>
            <w:tcW w:w="70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1524</w:t>
            </w:r>
          </w:p>
        </w:tc>
        <w:tc>
          <w:tcPr>
            <w:tcW w:w="576"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324</w:t>
            </w:r>
          </w:p>
        </w:tc>
        <w:tc>
          <w:tcPr>
            <w:tcW w:w="992"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4.704</w:t>
            </w:r>
          </w:p>
        </w:tc>
        <w:tc>
          <w:tcPr>
            <w:tcW w:w="1011"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0.122</w:t>
            </w:r>
          </w:p>
        </w:tc>
        <w:tc>
          <w:tcPr>
            <w:tcW w:w="974"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0.080</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0.745</w:t>
            </w:r>
          </w:p>
        </w:tc>
        <w:tc>
          <w:tcPr>
            <w:tcW w:w="889" w:type="dxa"/>
            <w:tcBorders>
              <w:top w:val="nil"/>
              <w:left w:val="nil"/>
              <w:bottom w:val="single" w:sz="4" w:space="0" w:color="auto"/>
              <w:right w:val="single" w:sz="4" w:space="0" w:color="auto"/>
            </w:tcBorders>
            <w:shd w:val="clear" w:color="auto" w:fill="auto"/>
            <w:noWrap/>
            <w:vAlign w:val="bottom"/>
            <w:hideMark/>
          </w:tcPr>
          <w:p w:rsidR="002A064F" w:rsidRPr="008D76D7" w:rsidRDefault="002A064F" w:rsidP="002A064F">
            <w:pPr>
              <w:spacing w:after="0" w:line="240" w:lineRule="auto"/>
              <w:jc w:val="right"/>
              <w:rPr>
                <w:rFonts w:ascii="Times New Roman" w:eastAsia="Times New Roman" w:hAnsi="Times New Roman" w:cs="Times New Roman"/>
                <w:color w:val="000000"/>
                <w:sz w:val="24"/>
                <w:szCs w:val="24"/>
              </w:rPr>
            </w:pPr>
            <w:r w:rsidRPr="008D76D7">
              <w:rPr>
                <w:rFonts w:ascii="Times New Roman" w:eastAsia="Times New Roman" w:hAnsi="Times New Roman" w:cs="Times New Roman"/>
                <w:color w:val="000000"/>
                <w:sz w:val="24"/>
                <w:szCs w:val="24"/>
              </w:rPr>
              <w:t>0.724</w:t>
            </w:r>
          </w:p>
        </w:tc>
      </w:tr>
    </w:tbl>
    <w:p w:rsidR="002A064F" w:rsidRDefault="002A064F" w:rsidP="002A064F">
      <w:pPr>
        <w:spacing w:after="0" w:line="480" w:lineRule="auto"/>
        <w:jc w:val="both"/>
        <w:rPr>
          <w:rFonts w:ascii="Times New Roman" w:eastAsia="Times New Roman" w:hAnsi="Times New Roman" w:cs="Times New Roman"/>
          <w:b/>
          <w:sz w:val="26"/>
          <w:szCs w:val="26"/>
        </w:rPr>
      </w:pPr>
    </w:p>
    <w:p w:rsidR="002A064F" w:rsidRDefault="002A064F" w:rsidP="002A064F">
      <w:pPr>
        <w:spacing w:after="0" w:line="480" w:lineRule="auto"/>
        <w:jc w:val="both"/>
        <w:rPr>
          <w:rFonts w:ascii="Times New Roman" w:eastAsia="Times New Roman" w:hAnsi="Times New Roman" w:cs="Times New Roman"/>
          <w:b/>
          <w:sz w:val="26"/>
          <w:szCs w:val="26"/>
        </w:rPr>
      </w:pPr>
      <w:proofErr w:type="gramStart"/>
      <w:r>
        <w:rPr>
          <w:rFonts w:ascii="Times New Roman" w:eastAsia="Times New Roman" w:hAnsi="Times New Roman" w:cs="Times New Roman"/>
          <w:b/>
          <w:sz w:val="26"/>
          <w:szCs w:val="26"/>
        </w:rPr>
        <w:t>Table 8.</w:t>
      </w:r>
      <w:proofErr w:type="gramEnd"/>
      <w:r>
        <w:rPr>
          <w:rFonts w:ascii="Times New Roman" w:eastAsia="Times New Roman" w:hAnsi="Times New Roman" w:cs="Times New Roman"/>
          <w:b/>
          <w:sz w:val="26"/>
          <w:szCs w:val="26"/>
        </w:rPr>
        <w:t xml:space="preserve"> Model Fit</w:t>
      </w:r>
    </w:p>
    <w:tbl>
      <w:tblPr>
        <w:tblW w:w="815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55"/>
        <w:gridCol w:w="866"/>
        <w:gridCol w:w="1032"/>
        <w:gridCol w:w="1032"/>
        <w:gridCol w:w="1085"/>
        <w:gridCol w:w="975"/>
        <w:gridCol w:w="975"/>
        <w:gridCol w:w="1033"/>
      </w:tblGrid>
      <w:tr w:rsidR="002A064F" w:rsidTr="009338FD">
        <w:trPr>
          <w:jc w:val="right"/>
        </w:trPr>
        <w:tc>
          <w:tcPr>
            <w:tcW w:w="1155" w:type="dxa"/>
          </w:tcPr>
          <w:p w:rsidR="002A064F" w:rsidRDefault="002A064F"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RMSEA</w:t>
            </w:r>
          </w:p>
        </w:tc>
        <w:tc>
          <w:tcPr>
            <w:tcW w:w="866" w:type="dxa"/>
          </w:tcPr>
          <w:p w:rsidR="002A064F" w:rsidRDefault="002A064F"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GFI</w:t>
            </w:r>
          </w:p>
        </w:tc>
        <w:tc>
          <w:tcPr>
            <w:tcW w:w="1032" w:type="dxa"/>
          </w:tcPr>
          <w:p w:rsidR="002A064F" w:rsidRDefault="002A064F"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CFI</w:t>
            </w:r>
          </w:p>
        </w:tc>
        <w:tc>
          <w:tcPr>
            <w:tcW w:w="1032" w:type="dxa"/>
          </w:tcPr>
          <w:p w:rsidR="002A064F" w:rsidRDefault="002A064F"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TLI</w:t>
            </w:r>
          </w:p>
        </w:tc>
        <w:tc>
          <w:tcPr>
            <w:tcW w:w="1085" w:type="dxa"/>
          </w:tcPr>
          <w:p w:rsidR="002A064F" w:rsidRDefault="002A064F"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SRMR</w:t>
            </w:r>
          </w:p>
        </w:tc>
        <w:tc>
          <w:tcPr>
            <w:tcW w:w="975" w:type="dxa"/>
          </w:tcPr>
          <w:p w:rsidR="002A064F" w:rsidRDefault="002A064F"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X</w:t>
            </w:r>
            <w:r>
              <w:rPr>
                <w:rFonts w:ascii="Times New Roman" w:eastAsia="Times New Roman" w:hAnsi="Times New Roman" w:cs="Times New Roman"/>
                <w:b/>
                <w:i/>
                <w:sz w:val="24"/>
                <w:szCs w:val="24"/>
                <w:vertAlign w:val="superscript"/>
              </w:rPr>
              <w:t>2</w:t>
            </w:r>
          </w:p>
        </w:tc>
        <w:tc>
          <w:tcPr>
            <w:tcW w:w="975" w:type="dxa"/>
          </w:tcPr>
          <w:p w:rsidR="002A064F" w:rsidRDefault="002A064F" w:rsidP="002A064F">
            <w:pPr>
              <w:spacing w:line="24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df</w:t>
            </w:r>
            <w:proofErr w:type="spellEnd"/>
          </w:p>
        </w:tc>
        <w:tc>
          <w:tcPr>
            <w:tcW w:w="1033" w:type="dxa"/>
          </w:tcPr>
          <w:p w:rsidR="002A064F" w:rsidRDefault="002A064F" w:rsidP="002A064F">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X</w:t>
            </w:r>
            <w:r>
              <w:rPr>
                <w:rFonts w:ascii="Times New Roman" w:eastAsia="Times New Roman" w:hAnsi="Times New Roman" w:cs="Times New Roman"/>
                <w:b/>
                <w:i/>
                <w:sz w:val="24"/>
                <w:szCs w:val="24"/>
                <w:vertAlign w:val="superscript"/>
              </w:rPr>
              <w:t>2</w:t>
            </w:r>
            <w:r>
              <w:rPr>
                <w:rFonts w:ascii="Times New Roman" w:eastAsia="Times New Roman" w:hAnsi="Times New Roman" w:cs="Times New Roman"/>
                <w:b/>
                <w:i/>
                <w:sz w:val="24"/>
                <w:szCs w:val="24"/>
              </w:rPr>
              <w:t>/</w:t>
            </w:r>
            <w:proofErr w:type="spellStart"/>
            <w:r>
              <w:rPr>
                <w:rFonts w:ascii="Times New Roman" w:eastAsia="Times New Roman" w:hAnsi="Times New Roman" w:cs="Times New Roman"/>
                <w:b/>
                <w:i/>
                <w:sz w:val="24"/>
                <w:szCs w:val="24"/>
              </w:rPr>
              <w:t>df</w:t>
            </w:r>
            <w:proofErr w:type="spellEnd"/>
          </w:p>
        </w:tc>
      </w:tr>
      <w:tr w:rsidR="002A064F" w:rsidTr="009338FD">
        <w:trPr>
          <w:jc w:val="right"/>
        </w:trPr>
        <w:tc>
          <w:tcPr>
            <w:tcW w:w="1155"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0.0628</w:t>
            </w:r>
          </w:p>
        </w:tc>
        <w:tc>
          <w:tcPr>
            <w:tcW w:w="866"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0.947</w:t>
            </w:r>
          </w:p>
        </w:tc>
        <w:tc>
          <w:tcPr>
            <w:tcW w:w="1032"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0.935</w:t>
            </w:r>
          </w:p>
        </w:tc>
        <w:tc>
          <w:tcPr>
            <w:tcW w:w="1032"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0.927</w:t>
            </w:r>
          </w:p>
        </w:tc>
        <w:tc>
          <w:tcPr>
            <w:tcW w:w="1085"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0.047</w:t>
            </w:r>
          </w:p>
        </w:tc>
        <w:tc>
          <w:tcPr>
            <w:tcW w:w="975"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621</w:t>
            </w:r>
          </w:p>
        </w:tc>
        <w:tc>
          <w:tcPr>
            <w:tcW w:w="975"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314</w:t>
            </w:r>
          </w:p>
        </w:tc>
        <w:tc>
          <w:tcPr>
            <w:tcW w:w="1033" w:type="dxa"/>
          </w:tcPr>
          <w:p w:rsidR="002A064F" w:rsidRDefault="002A064F" w:rsidP="002A064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1.98</w:t>
            </w:r>
          </w:p>
        </w:tc>
      </w:tr>
    </w:tbl>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E26366" w:rsidRDefault="00E26366" w:rsidP="00E26366">
      <w:pPr>
        <w:pStyle w:val="NormalWeb"/>
        <w:spacing w:line="480" w:lineRule="auto"/>
        <w:jc w:val="both"/>
      </w:pPr>
    </w:p>
    <w:p w:rsidR="00486D70" w:rsidRPr="00F21603" w:rsidRDefault="00486D70" w:rsidP="00E26366">
      <w:pPr>
        <w:pStyle w:val="NormalWeb"/>
        <w:spacing w:line="480" w:lineRule="auto"/>
        <w:jc w:val="both"/>
      </w:pPr>
    </w:p>
    <w:sectPr w:rsidR="00486D70" w:rsidRPr="00F216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ptos">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Arim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dvOTc9c0ed35.B">
    <w:altName w:val="Calibri"/>
    <w:panose1 w:val="00000000000000000000"/>
    <w:charset w:val="00"/>
    <w:family w:val="swiss"/>
    <w:notTrueType/>
    <w:pitch w:val="default"/>
    <w:sig w:usb0="00000003" w:usb1="00000000" w:usb2="00000000" w:usb3="00000000" w:csb0="00000001" w:csb1="00000000"/>
  </w:font>
  <w:font w:name="AdvOT6520a694">
    <w:altName w:val="Calibri"/>
    <w:panose1 w:val="00000000000000000000"/>
    <w:charset w:val="00"/>
    <w:family w:val="swiss"/>
    <w:notTrueType/>
    <w:pitch w:val="default"/>
    <w:sig w:usb0="00000003" w:usb1="00000000" w:usb2="00000000" w:usb3="00000000" w:csb0="00000001" w:csb1="00000000"/>
  </w:font>
  <w:font w:name="AdvP4C4E74">
    <w:altName w:val="Calibri"/>
    <w:panose1 w:val="00000000000000000000"/>
    <w:charset w:val="00"/>
    <w:family w:val="auto"/>
    <w:notTrueType/>
    <w:pitch w:val="default"/>
    <w:sig w:usb0="00000003" w:usb1="00000000" w:usb2="00000000" w:usb3="00000000" w:csb0="00000001" w:csb1="00000000"/>
  </w:font>
  <w:font w:name="AdvOT0c2f268a">
    <w:altName w:val="Calibri"/>
    <w:panose1 w:val="00000000000000000000"/>
    <w:charset w:val="00"/>
    <w:family w:val="swiss"/>
    <w:notTrueType/>
    <w:pitch w:val="default"/>
    <w:sig w:usb0="00000003" w:usb1="00000000" w:usb2="00000000" w:usb3="00000000" w:csb0="00000001" w:csb1="00000000"/>
  </w:font>
  <w:font w:name="AdvP4C4E51">
    <w:altName w:val="Calibri"/>
    <w:panose1 w:val="00000000000000000000"/>
    <w:charset w:val="00"/>
    <w:family w:val="swiss"/>
    <w:notTrueType/>
    <w:pitch w:val="default"/>
    <w:sig w:usb0="00000003" w:usb1="00000000" w:usb2="00000000" w:usb3="00000000" w:csb0="00000001" w:csb1="00000000"/>
  </w:font>
  <w:font w:name="AdvOT6520a694+20">
    <w:altName w:val="Calibri"/>
    <w:panose1 w:val="00000000000000000000"/>
    <w:charset w:val="00"/>
    <w:family w:val="swiss"/>
    <w:notTrueType/>
    <w:pitch w:val="default"/>
    <w:sig w:usb0="00000003" w:usb1="00000000" w:usb2="00000000" w:usb3="00000000" w:csb0="00000001" w:csb1="00000000"/>
  </w:font>
  <w:font w:name="Aptos Narrow">
    <w:altName w:val="Times New Roman"/>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F12AE"/>
    <w:multiLevelType w:val="hybridMultilevel"/>
    <w:tmpl w:val="E6608192"/>
    <w:lvl w:ilvl="0" w:tplc="1B1EA106">
      <w:start w:val="6"/>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740212A"/>
    <w:multiLevelType w:val="multilevel"/>
    <w:tmpl w:val="80C81562"/>
    <w:lvl w:ilvl="0">
      <w:start w:val="1"/>
      <w:numFmt w:val="decimal"/>
      <w:lvlText w:val="%1."/>
      <w:lvlJc w:val="left"/>
      <w:pPr>
        <w:ind w:left="720" w:hanging="360"/>
      </w:pPr>
      <w:rPr>
        <w:rFonts w:hint="default"/>
        <w:b/>
        <w:bCs/>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8B"/>
    <w:rsid w:val="00000CBB"/>
    <w:rsid w:val="00027C9A"/>
    <w:rsid w:val="000662AF"/>
    <w:rsid w:val="00071B14"/>
    <w:rsid w:val="000725AA"/>
    <w:rsid w:val="001138FE"/>
    <w:rsid w:val="001B2A37"/>
    <w:rsid w:val="001B6A43"/>
    <w:rsid w:val="00266A9F"/>
    <w:rsid w:val="002804E4"/>
    <w:rsid w:val="002A064F"/>
    <w:rsid w:val="00355817"/>
    <w:rsid w:val="00393010"/>
    <w:rsid w:val="003C1E97"/>
    <w:rsid w:val="003C1F43"/>
    <w:rsid w:val="003E05A0"/>
    <w:rsid w:val="00417507"/>
    <w:rsid w:val="004656FF"/>
    <w:rsid w:val="00486D70"/>
    <w:rsid w:val="004E5E9F"/>
    <w:rsid w:val="00566A29"/>
    <w:rsid w:val="005D3F99"/>
    <w:rsid w:val="005E3B69"/>
    <w:rsid w:val="0060619C"/>
    <w:rsid w:val="00666A4D"/>
    <w:rsid w:val="006A668B"/>
    <w:rsid w:val="007947B2"/>
    <w:rsid w:val="007B63A5"/>
    <w:rsid w:val="007F707E"/>
    <w:rsid w:val="00864816"/>
    <w:rsid w:val="008878DD"/>
    <w:rsid w:val="0089228B"/>
    <w:rsid w:val="00897171"/>
    <w:rsid w:val="008A7D43"/>
    <w:rsid w:val="008B0F08"/>
    <w:rsid w:val="008E70B0"/>
    <w:rsid w:val="009338FD"/>
    <w:rsid w:val="00982133"/>
    <w:rsid w:val="009B6627"/>
    <w:rsid w:val="00A02EA6"/>
    <w:rsid w:val="00A06944"/>
    <w:rsid w:val="00A137E9"/>
    <w:rsid w:val="00A77975"/>
    <w:rsid w:val="00AD3428"/>
    <w:rsid w:val="00AD3B42"/>
    <w:rsid w:val="00B031D4"/>
    <w:rsid w:val="00B26469"/>
    <w:rsid w:val="00B57694"/>
    <w:rsid w:val="00B835A0"/>
    <w:rsid w:val="00B9319F"/>
    <w:rsid w:val="00B957A7"/>
    <w:rsid w:val="00BA50E8"/>
    <w:rsid w:val="00BA6210"/>
    <w:rsid w:val="00BA6793"/>
    <w:rsid w:val="00BA71DF"/>
    <w:rsid w:val="00BA7464"/>
    <w:rsid w:val="00D27CBE"/>
    <w:rsid w:val="00D3615D"/>
    <w:rsid w:val="00D91130"/>
    <w:rsid w:val="00D968A4"/>
    <w:rsid w:val="00DC73C4"/>
    <w:rsid w:val="00DD7D26"/>
    <w:rsid w:val="00E118E4"/>
    <w:rsid w:val="00E26366"/>
    <w:rsid w:val="00E51D6B"/>
    <w:rsid w:val="00EC24ED"/>
    <w:rsid w:val="00EC36F4"/>
    <w:rsid w:val="00F21603"/>
    <w:rsid w:val="00F45A6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4F"/>
  </w:style>
  <w:style w:type="paragraph" w:styleId="Heading3">
    <w:name w:val="heading 3"/>
    <w:basedOn w:val="Normal"/>
    <w:link w:val="Heading3Char"/>
    <w:uiPriority w:val="9"/>
    <w:qFormat/>
    <w:rsid w:val="00A137E9"/>
    <w:pPr>
      <w:spacing w:before="100" w:beforeAutospacing="1" w:after="100" w:afterAutospacing="1" w:line="240" w:lineRule="auto"/>
      <w:outlineLvl w:val="2"/>
    </w:pPr>
    <w:rPr>
      <w:rFonts w:ascii="Times New Roman" w:eastAsia="Times New Roman" w:hAnsi="Times New Roman" w:cs="Times New Roman"/>
      <w:b/>
      <w:bCs/>
      <w:sz w:val="27"/>
      <w:szCs w:val="27"/>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1603"/>
    <w:pPr>
      <w:spacing w:before="100" w:beforeAutospacing="1" w:after="100" w:afterAutospacing="1" w:line="240" w:lineRule="auto"/>
    </w:pPr>
    <w:rPr>
      <w:rFonts w:ascii="Times New Roman" w:eastAsia="Times New Roman" w:hAnsi="Times New Roman" w:cs="Times New Roman"/>
      <w:sz w:val="24"/>
      <w:szCs w:val="24"/>
      <w:lang w:eastAsia="en-IN" w:bidi="hi-IN"/>
    </w:rPr>
  </w:style>
  <w:style w:type="character" w:styleId="Strong">
    <w:name w:val="Strong"/>
    <w:basedOn w:val="DefaultParagraphFont"/>
    <w:uiPriority w:val="22"/>
    <w:qFormat/>
    <w:rsid w:val="00F21603"/>
    <w:rPr>
      <w:b/>
      <w:bCs/>
    </w:rPr>
  </w:style>
  <w:style w:type="paragraph" w:styleId="ListParagraph">
    <w:name w:val="List Paragraph"/>
    <w:basedOn w:val="Normal"/>
    <w:uiPriority w:val="34"/>
    <w:qFormat/>
    <w:rsid w:val="004E5E9F"/>
    <w:pPr>
      <w:ind w:left="720"/>
      <w:contextualSpacing/>
    </w:pPr>
  </w:style>
  <w:style w:type="table" w:styleId="TableGrid">
    <w:name w:val="Table Grid"/>
    <w:basedOn w:val="TableNormal"/>
    <w:uiPriority w:val="39"/>
    <w:rsid w:val="004E5E9F"/>
    <w:pPr>
      <w:spacing w:after="0" w:line="240" w:lineRule="auto"/>
    </w:pPr>
    <w:rPr>
      <w:rFonts w:ascii="Aptos" w:eastAsia="Aptos" w:hAnsi="Aptos" w:cs="Aptos"/>
      <w:lang w:val="en-US"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D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D26"/>
    <w:rPr>
      <w:rFonts w:ascii="Tahoma" w:hAnsi="Tahoma" w:cs="Tahoma"/>
      <w:sz w:val="16"/>
      <w:szCs w:val="16"/>
    </w:rPr>
  </w:style>
  <w:style w:type="character" w:styleId="Emphasis">
    <w:name w:val="Emphasis"/>
    <w:basedOn w:val="DefaultParagraphFont"/>
    <w:uiPriority w:val="20"/>
    <w:qFormat/>
    <w:rsid w:val="00A137E9"/>
    <w:rPr>
      <w:i/>
      <w:iCs/>
    </w:rPr>
  </w:style>
  <w:style w:type="character" w:customStyle="1" w:styleId="Heading3Char">
    <w:name w:val="Heading 3 Char"/>
    <w:basedOn w:val="DefaultParagraphFont"/>
    <w:link w:val="Heading3"/>
    <w:uiPriority w:val="9"/>
    <w:rsid w:val="00A137E9"/>
    <w:rPr>
      <w:rFonts w:ascii="Times New Roman" w:eastAsia="Times New Roman" w:hAnsi="Times New Roman" w:cs="Times New Roman"/>
      <w:b/>
      <w:bCs/>
      <w:sz w:val="27"/>
      <w:szCs w:val="27"/>
      <w:lang w:eastAsia="en-IN" w:bidi="hi-IN"/>
    </w:rPr>
  </w:style>
  <w:style w:type="paragraph" w:styleId="Bibliography">
    <w:name w:val="Bibliography"/>
    <w:basedOn w:val="Normal"/>
    <w:next w:val="Normal"/>
    <w:uiPriority w:val="37"/>
    <w:unhideWhenUsed/>
    <w:rsid w:val="00486D70"/>
    <w:pPr>
      <w:spacing w:after="0" w:line="480" w:lineRule="auto"/>
      <w:ind w:left="720" w:hanging="720"/>
    </w:pPr>
  </w:style>
  <w:style w:type="character" w:styleId="Hyperlink">
    <w:name w:val="Hyperlink"/>
    <w:basedOn w:val="DefaultParagraphFont"/>
    <w:uiPriority w:val="99"/>
    <w:unhideWhenUsed/>
    <w:rsid w:val="00E2636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4F"/>
  </w:style>
  <w:style w:type="paragraph" w:styleId="Heading3">
    <w:name w:val="heading 3"/>
    <w:basedOn w:val="Normal"/>
    <w:link w:val="Heading3Char"/>
    <w:uiPriority w:val="9"/>
    <w:qFormat/>
    <w:rsid w:val="00A137E9"/>
    <w:pPr>
      <w:spacing w:before="100" w:beforeAutospacing="1" w:after="100" w:afterAutospacing="1" w:line="240" w:lineRule="auto"/>
      <w:outlineLvl w:val="2"/>
    </w:pPr>
    <w:rPr>
      <w:rFonts w:ascii="Times New Roman" w:eastAsia="Times New Roman" w:hAnsi="Times New Roman" w:cs="Times New Roman"/>
      <w:b/>
      <w:bCs/>
      <w:sz w:val="27"/>
      <w:szCs w:val="27"/>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21603"/>
    <w:pPr>
      <w:spacing w:before="100" w:beforeAutospacing="1" w:after="100" w:afterAutospacing="1" w:line="240" w:lineRule="auto"/>
    </w:pPr>
    <w:rPr>
      <w:rFonts w:ascii="Times New Roman" w:eastAsia="Times New Roman" w:hAnsi="Times New Roman" w:cs="Times New Roman"/>
      <w:sz w:val="24"/>
      <w:szCs w:val="24"/>
      <w:lang w:eastAsia="en-IN" w:bidi="hi-IN"/>
    </w:rPr>
  </w:style>
  <w:style w:type="character" w:styleId="Strong">
    <w:name w:val="Strong"/>
    <w:basedOn w:val="DefaultParagraphFont"/>
    <w:uiPriority w:val="22"/>
    <w:qFormat/>
    <w:rsid w:val="00F21603"/>
    <w:rPr>
      <w:b/>
      <w:bCs/>
    </w:rPr>
  </w:style>
  <w:style w:type="paragraph" w:styleId="ListParagraph">
    <w:name w:val="List Paragraph"/>
    <w:basedOn w:val="Normal"/>
    <w:uiPriority w:val="34"/>
    <w:qFormat/>
    <w:rsid w:val="004E5E9F"/>
    <w:pPr>
      <w:ind w:left="720"/>
      <w:contextualSpacing/>
    </w:pPr>
  </w:style>
  <w:style w:type="table" w:styleId="TableGrid">
    <w:name w:val="Table Grid"/>
    <w:basedOn w:val="TableNormal"/>
    <w:uiPriority w:val="39"/>
    <w:rsid w:val="004E5E9F"/>
    <w:pPr>
      <w:spacing w:after="0" w:line="240" w:lineRule="auto"/>
    </w:pPr>
    <w:rPr>
      <w:rFonts w:ascii="Aptos" w:eastAsia="Aptos" w:hAnsi="Aptos" w:cs="Aptos"/>
      <w:lang w:val="en-US" w:eastAsia="en-I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7D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D26"/>
    <w:rPr>
      <w:rFonts w:ascii="Tahoma" w:hAnsi="Tahoma" w:cs="Tahoma"/>
      <w:sz w:val="16"/>
      <w:szCs w:val="16"/>
    </w:rPr>
  </w:style>
  <w:style w:type="character" w:styleId="Emphasis">
    <w:name w:val="Emphasis"/>
    <w:basedOn w:val="DefaultParagraphFont"/>
    <w:uiPriority w:val="20"/>
    <w:qFormat/>
    <w:rsid w:val="00A137E9"/>
    <w:rPr>
      <w:i/>
      <w:iCs/>
    </w:rPr>
  </w:style>
  <w:style w:type="character" w:customStyle="1" w:styleId="Heading3Char">
    <w:name w:val="Heading 3 Char"/>
    <w:basedOn w:val="DefaultParagraphFont"/>
    <w:link w:val="Heading3"/>
    <w:uiPriority w:val="9"/>
    <w:rsid w:val="00A137E9"/>
    <w:rPr>
      <w:rFonts w:ascii="Times New Roman" w:eastAsia="Times New Roman" w:hAnsi="Times New Roman" w:cs="Times New Roman"/>
      <w:b/>
      <w:bCs/>
      <w:sz w:val="27"/>
      <w:szCs w:val="27"/>
      <w:lang w:eastAsia="en-IN" w:bidi="hi-IN"/>
    </w:rPr>
  </w:style>
  <w:style w:type="paragraph" w:styleId="Bibliography">
    <w:name w:val="Bibliography"/>
    <w:basedOn w:val="Normal"/>
    <w:next w:val="Normal"/>
    <w:uiPriority w:val="37"/>
    <w:unhideWhenUsed/>
    <w:rsid w:val="00486D70"/>
    <w:pPr>
      <w:spacing w:after="0" w:line="480" w:lineRule="auto"/>
      <w:ind w:left="720" w:hanging="720"/>
    </w:pPr>
  </w:style>
  <w:style w:type="character" w:styleId="Hyperlink">
    <w:name w:val="Hyperlink"/>
    <w:basedOn w:val="DefaultParagraphFont"/>
    <w:uiPriority w:val="99"/>
    <w:unhideWhenUsed/>
    <w:rsid w:val="00E2636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44319">
      <w:bodyDiv w:val="1"/>
      <w:marLeft w:val="0"/>
      <w:marRight w:val="0"/>
      <w:marTop w:val="0"/>
      <w:marBottom w:val="0"/>
      <w:divBdr>
        <w:top w:val="none" w:sz="0" w:space="0" w:color="auto"/>
        <w:left w:val="none" w:sz="0" w:space="0" w:color="auto"/>
        <w:bottom w:val="none" w:sz="0" w:space="0" w:color="auto"/>
        <w:right w:val="none" w:sz="0" w:space="0" w:color="auto"/>
      </w:divBdr>
    </w:div>
    <w:div w:id="181600660">
      <w:bodyDiv w:val="1"/>
      <w:marLeft w:val="0"/>
      <w:marRight w:val="0"/>
      <w:marTop w:val="0"/>
      <w:marBottom w:val="0"/>
      <w:divBdr>
        <w:top w:val="none" w:sz="0" w:space="0" w:color="auto"/>
        <w:left w:val="none" w:sz="0" w:space="0" w:color="auto"/>
        <w:bottom w:val="none" w:sz="0" w:space="0" w:color="auto"/>
        <w:right w:val="none" w:sz="0" w:space="0" w:color="auto"/>
      </w:divBdr>
    </w:div>
    <w:div w:id="259679982">
      <w:bodyDiv w:val="1"/>
      <w:marLeft w:val="0"/>
      <w:marRight w:val="0"/>
      <w:marTop w:val="0"/>
      <w:marBottom w:val="0"/>
      <w:divBdr>
        <w:top w:val="none" w:sz="0" w:space="0" w:color="auto"/>
        <w:left w:val="none" w:sz="0" w:space="0" w:color="auto"/>
        <w:bottom w:val="none" w:sz="0" w:space="0" w:color="auto"/>
        <w:right w:val="none" w:sz="0" w:space="0" w:color="auto"/>
      </w:divBdr>
    </w:div>
    <w:div w:id="288097081">
      <w:bodyDiv w:val="1"/>
      <w:marLeft w:val="0"/>
      <w:marRight w:val="0"/>
      <w:marTop w:val="0"/>
      <w:marBottom w:val="0"/>
      <w:divBdr>
        <w:top w:val="none" w:sz="0" w:space="0" w:color="auto"/>
        <w:left w:val="none" w:sz="0" w:space="0" w:color="auto"/>
        <w:bottom w:val="none" w:sz="0" w:space="0" w:color="auto"/>
        <w:right w:val="none" w:sz="0" w:space="0" w:color="auto"/>
      </w:divBdr>
    </w:div>
    <w:div w:id="368532675">
      <w:bodyDiv w:val="1"/>
      <w:marLeft w:val="0"/>
      <w:marRight w:val="0"/>
      <w:marTop w:val="0"/>
      <w:marBottom w:val="0"/>
      <w:divBdr>
        <w:top w:val="none" w:sz="0" w:space="0" w:color="auto"/>
        <w:left w:val="none" w:sz="0" w:space="0" w:color="auto"/>
        <w:bottom w:val="none" w:sz="0" w:space="0" w:color="auto"/>
        <w:right w:val="none" w:sz="0" w:space="0" w:color="auto"/>
      </w:divBdr>
    </w:div>
    <w:div w:id="419718661">
      <w:bodyDiv w:val="1"/>
      <w:marLeft w:val="0"/>
      <w:marRight w:val="0"/>
      <w:marTop w:val="0"/>
      <w:marBottom w:val="0"/>
      <w:divBdr>
        <w:top w:val="none" w:sz="0" w:space="0" w:color="auto"/>
        <w:left w:val="none" w:sz="0" w:space="0" w:color="auto"/>
        <w:bottom w:val="none" w:sz="0" w:space="0" w:color="auto"/>
        <w:right w:val="none" w:sz="0" w:space="0" w:color="auto"/>
      </w:divBdr>
    </w:div>
    <w:div w:id="424377341">
      <w:bodyDiv w:val="1"/>
      <w:marLeft w:val="0"/>
      <w:marRight w:val="0"/>
      <w:marTop w:val="0"/>
      <w:marBottom w:val="0"/>
      <w:divBdr>
        <w:top w:val="none" w:sz="0" w:space="0" w:color="auto"/>
        <w:left w:val="none" w:sz="0" w:space="0" w:color="auto"/>
        <w:bottom w:val="none" w:sz="0" w:space="0" w:color="auto"/>
        <w:right w:val="none" w:sz="0" w:space="0" w:color="auto"/>
      </w:divBdr>
    </w:div>
    <w:div w:id="453133220">
      <w:bodyDiv w:val="1"/>
      <w:marLeft w:val="0"/>
      <w:marRight w:val="0"/>
      <w:marTop w:val="0"/>
      <w:marBottom w:val="0"/>
      <w:divBdr>
        <w:top w:val="none" w:sz="0" w:space="0" w:color="auto"/>
        <w:left w:val="none" w:sz="0" w:space="0" w:color="auto"/>
        <w:bottom w:val="none" w:sz="0" w:space="0" w:color="auto"/>
        <w:right w:val="none" w:sz="0" w:space="0" w:color="auto"/>
      </w:divBdr>
    </w:div>
    <w:div w:id="549071006">
      <w:bodyDiv w:val="1"/>
      <w:marLeft w:val="0"/>
      <w:marRight w:val="0"/>
      <w:marTop w:val="0"/>
      <w:marBottom w:val="0"/>
      <w:divBdr>
        <w:top w:val="none" w:sz="0" w:space="0" w:color="auto"/>
        <w:left w:val="none" w:sz="0" w:space="0" w:color="auto"/>
        <w:bottom w:val="none" w:sz="0" w:space="0" w:color="auto"/>
        <w:right w:val="none" w:sz="0" w:space="0" w:color="auto"/>
      </w:divBdr>
    </w:div>
    <w:div w:id="597952152">
      <w:bodyDiv w:val="1"/>
      <w:marLeft w:val="0"/>
      <w:marRight w:val="0"/>
      <w:marTop w:val="0"/>
      <w:marBottom w:val="0"/>
      <w:divBdr>
        <w:top w:val="none" w:sz="0" w:space="0" w:color="auto"/>
        <w:left w:val="none" w:sz="0" w:space="0" w:color="auto"/>
        <w:bottom w:val="none" w:sz="0" w:space="0" w:color="auto"/>
        <w:right w:val="none" w:sz="0" w:space="0" w:color="auto"/>
      </w:divBdr>
      <w:divsChild>
        <w:div w:id="175968953">
          <w:marLeft w:val="0"/>
          <w:marRight w:val="0"/>
          <w:marTop w:val="0"/>
          <w:marBottom w:val="0"/>
          <w:divBdr>
            <w:top w:val="none" w:sz="0" w:space="0" w:color="auto"/>
            <w:left w:val="none" w:sz="0" w:space="0" w:color="auto"/>
            <w:bottom w:val="none" w:sz="0" w:space="0" w:color="auto"/>
            <w:right w:val="none" w:sz="0" w:space="0" w:color="auto"/>
          </w:divBdr>
          <w:divsChild>
            <w:div w:id="1623922897">
              <w:marLeft w:val="0"/>
              <w:marRight w:val="0"/>
              <w:marTop w:val="0"/>
              <w:marBottom w:val="0"/>
              <w:divBdr>
                <w:top w:val="none" w:sz="0" w:space="0" w:color="auto"/>
                <w:left w:val="none" w:sz="0" w:space="0" w:color="auto"/>
                <w:bottom w:val="none" w:sz="0" w:space="0" w:color="auto"/>
                <w:right w:val="none" w:sz="0" w:space="0" w:color="auto"/>
              </w:divBdr>
              <w:divsChild>
                <w:div w:id="1409502299">
                  <w:marLeft w:val="0"/>
                  <w:marRight w:val="0"/>
                  <w:marTop w:val="0"/>
                  <w:marBottom w:val="0"/>
                  <w:divBdr>
                    <w:top w:val="none" w:sz="0" w:space="0" w:color="auto"/>
                    <w:left w:val="none" w:sz="0" w:space="0" w:color="auto"/>
                    <w:bottom w:val="none" w:sz="0" w:space="0" w:color="auto"/>
                    <w:right w:val="none" w:sz="0" w:space="0" w:color="auto"/>
                  </w:divBdr>
                  <w:divsChild>
                    <w:div w:id="293753754">
                      <w:marLeft w:val="0"/>
                      <w:marRight w:val="0"/>
                      <w:marTop w:val="0"/>
                      <w:marBottom w:val="0"/>
                      <w:divBdr>
                        <w:top w:val="none" w:sz="0" w:space="0" w:color="auto"/>
                        <w:left w:val="none" w:sz="0" w:space="0" w:color="auto"/>
                        <w:bottom w:val="none" w:sz="0" w:space="0" w:color="auto"/>
                        <w:right w:val="none" w:sz="0" w:space="0" w:color="auto"/>
                      </w:divBdr>
                      <w:divsChild>
                        <w:div w:id="495462400">
                          <w:marLeft w:val="0"/>
                          <w:marRight w:val="0"/>
                          <w:marTop w:val="0"/>
                          <w:marBottom w:val="0"/>
                          <w:divBdr>
                            <w:top w:val="none" w:sz="0" w:space="0" w:color="auto"/>
                            <w:left w:val="none" w:sz="0" w:space="0" w:color="auto"/>
                            <w:bottom w:val="none" w:sz="0" w:space="0" w:color="auto"/>
                            <w:right w:val="none" w:sz="0" w:space="0" w:color="auto"/>
                          </w:divBdr>
                          <w:divsChild>
                            <w:div w:id="1714846499">
                              <w:marLeft w:val="0"/>
                              <w:marRight w:val="0"/>
                              <w:marTop w:val="0"/>
                              <w:marBottom w:val="0"/>
                              <w:divBdr>
                                <w:top w:val="none" w:sz="0" w:space="0" w:color="auto"/>
                                <w:left w:val="none" w:sz="0" w:space="0" w:color="auto"/>
                                <w:bottom w:val="none" w:sz="0" w:space="0" w:color="auto"/>
                                <w:right w:val="none" w:sz="0" w:space="0" w:color="auto"/>
                              </w:divBdr>
                              <w:divsChild>
                                <w:div w:id="1757282724">
                                  <w:marLeft w:val="0"/>
                                  <w:marRight w:val="0"/>
                                  <w:marTop w:val="0"/>
                                  <w:marBottom w:val="0"/>
                                  <w:divBdr>
                                    <w:top w:val="none" w:sz="0" w:space="0" w:color="auto"/>
                                    <w:left w:val="none" w:sz="0" w:space="0" w:color="auto"/>
                                    <w:bottom w:val="none" w:sz="0" w:space="0" w:color="auto"/>
                                    <w:right w:val="none" w:sz="0" w:space="0" w:color="auto"/>
                                  </w:divBdr>
                                  <w:divsChild>
                                    <w:div w:id="1151604173">
                                      <w:marLeft w:val="0"/>
                                      <w:marRight w:val="0"/>
                                      <w:marTop w:val="0"/>
                                      <w:marBottom w:val="0"/>
                                      <w:divBdr>
                                        <w:top w:val="none" w:sz="0" w:space="0" w:color="auto"/>
                                        <w:left w:val="none" w:sz="0" w:space="0" w:color="auto"/>
                                        <w:bottom w:val="none" w:sz="0" w:space="0" w:color="auto"/>
                                        <w:right w:val="none" w:sz="0" w:space="0" w:color="auto"/>
                                      </w:divBdr>
                                      <w:divsChild>
                                        <w:div w:id="112846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1750977">
          <w:marLeft w:val="0"/>
          <w:marRight w:val="0"/>
          <w:marTop w:val="0"/>
          <w:marBottom w:val="0"/>
          <w:divBdr>
            <w:top w:val="none" w:sz="0" w:space="0" w:color="auto"/>
            <w:left w:val="none" w:sz="0" w:space="0" w:color="auto"/>
            <w:bottom w:val="none" w:sz="0" w:space="0" w:color="auto"/>
            <w:right w:val="none" w:sz="0" w:space="0" w:color="auto"/>
          </w:divBdr>
          <w:divsChild>
            <w:div w:id="1517117011">
              <w:marLeft w:val="0"/>
              <w:marRight w:val="0"/>
              <w:marTop w:val="0"/>
              <w:marBottom w:val="0"/>
              <w:divBdr>
                <w:top w:val="none" w:sz="0" w:space="0" w:color="auto"/>
                <w:left w:val="none" w:sz="0" w:space="0" w:color="auto"/>
                <w:bottom w:val="none" w:sz="0" w:space="0" w:color="auto"/>
                <w:right w:val="none" w:sz="0" w:space="0" w:color="auto"/>
              </w:divBdr>
              <w:divsChild>
                <w:div w:id="589314778">
                  <w:marLeft w:val="0"/>
                  <w:marRight w:val="0"/>
                  <w:marTop w:val="0"/>
                  <w:marBottom w:val="0"/>
                  <w:divBdr>
                    <w:top w:val="none" w:sz="0" w:space="0" w:color="auto"/>
                    <w:left w:val="none" w:sz="0" w:space="0" w:color="auto"/>
                    <w:bottom w:val="none" w:sz="0" w:space="0" w:color="auto"/>
                    <w:right w:val="none" w:sz="0" w:space="0" w:color="auto"/>
                  </w:divBdr>
                  <w:divsChild>
                    <w:div w:id="760832054">
                      <w:marLeft w:val="0"/>
                      <w:marRight w:val="0"/>
                      <w:marTop w:val="0"/>
                      <w:marBottom w:val="0"/>
                      <w:divBdr>
                        <w:top w:val="none" w:sz="0" w:space="0" w:color="auto"/>
                        <w:left w:val="none" w:sz="0" w:space="0" w:color="auto"/>
                        <w:bottom w:val="none" w:sz="0" w:space="0" w:color="auto"/>
                        <w:right w:val="none" w:sz="0" w:space="0" w:color="auto"/>
                      </w:divBdr>
                      <w:divsChild>
                        <w:div w:id="739210569">
                          <w:marLeft w:val="0"/>
                          <w:marRight w:val="0"/>
                          <w:marTop w:val="0"/>
                          <w:marBottom w:val="0"/>
                          <w:divBdr>
                            <w:top w:val="none" w:sz="0" w:space="0" w:color="auto"/>
                            <w:left w:val="none" w:sz="0" w:space="0" w:color="auto"/>
                            <w:bottom w:val="none" w:sz="0" w:space="0" w:color="auto"/>
                            <w:right w:val="none" w:sz="0" w:space="0" w:color="auto"/>
                          </w:divBdr>
                          <w:divsChild>
                            <w:div w:id="1154878349">
                              <w:marLeft w:val="0"/>
                              <w:marRight w:val="0"/>
                              <w:marTop w:val="0"/>
                              <w:marBottom w:val="0"/>
                              <w:divBdr>
                                <w:top w:val="none" w:sz="0" w:space="0" w:color="auto"/>
                                <w:left w:val="none" w:sz="0" w:space="0" w:color="auto"/>
                                <w:bottom w:val="none" w:sz="0" w:space="0" w:color="auto"/>
                                <w:right w:val="none" w:sz="0" w:space="0" w:color="auto"/>
                              </w:divBdr>
                              <w:divsChild>
                                <w:div w:id="1427965477">
                                  <w:marLeft w:val="0"/>
                                  <w:marRight w:val="0"/>
                                  <w:marTop w:val="0"/>
                                  <w:marBottom w:val="0"/>
                                  <w:divBdr>
                                    <w:top w:val="none" w:sz="0" w:space="0" w:color="auto"/>
                                    <w:left w:val="none" w:sz="0" w:space="0" w:color="auto"/>
                                    <w:bottom w:val="none" w:sz="0" w:space="0" w:color="auto"/>
                                    <w:right w:val="none" w:sz="0" w:space="0" w:color="auto"/>
                                  </w:divBdr>
                                  <w:divsChild>
                                    <w:div w:id="111837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889218">
          <w:marLeft w:val="0"/>
          <w:marRight w:val="0"/>
          <w:marTop w:val="0"/>
          <w:marBottom w:val="0"/>
          <w:divBdr>
            <w:top w:val="none" w:sz="0" w:space="0" w:color="auto"/>
            <w:left w:val="none" w:sz="0" w:space="0" w:color="auto"/>
            <w:bottom w:val="none" w:sz="0" w:space="0" w:color="auto"/>
            <w:right w:val="none" w:sz="0" w:space="0" w:color="auto"/>
          </w:divBdr>
          <w:divsChild>
            <w:div w:id="1309550529">
              <w:marLeft w:val="0"/>
              <w:marRight w:val="0"/>
              <w:marTop w:val="0"/>
              <w:marBottom w:val="0"/>
              <w:divBdr>
                <w:top w:val="none" w:sz="0" w:space="0" w:color="auto"/>
                <w:left w:val="none" w:sz="0" w:space="0" w:color="auto"/>
                <w:bottom w:val="none" w:sz="0" w:space="0" w:color="auto"/>
                <w:right w:val="none" w:sz="0" w:space="0" w:color="auto"/>
              </w:divBdr>
              <w:divsChild>
                <w:div w:id="606426577">
                  <w:marLeft w:val="0"/>
                  <w:marRight w:val="0"/>
                  <w:marTop w:val="0"/>
                  <w:marBottom w:val="0"/>
                  <w:divBdr>
                    <w:top w:val="none" w:sz="0" w:space="0" w:color="auto"/>
                    <w:left w:val="none" w:sz="0" w:space="0" w:color="auto"/>
                    <w:bottom w:val="none" w:sz="0" w:space="0" w:color="auto"/>
                    <w:right w:val="none" w:sz="0" w:space="0" w:color="auto"/>
                  </w:divBdr>
                  <w:divsChild>
                    <w:div w:id="759646858">
                      <w:marLeft w:val="0"/>
                      <w:marRight w:val="0"/>
                      <w:marTop w:val="0"/>
                      <w:marBottom w:val="0"/>
                      <w:divBdr>
                        <w:top w:val="none" w:sz="0" w:space="0" w:color="auto"/>
                        <w:left w:val="none" w:sz="0" w:space="0" w:color="auto"/>
                        <w:bottom w:val="none" w:sz="0" w:space="0" w:color="auto"/>
                        <w:right w:val="none" w:sz="0" w:space="0" w:color="auto"/>
                      </w:divBdr>
                      <w:divsChild>
                        <w:div w:id="715347878">
                          <w:marLeft w:val="0"/>
                          <w:marRight w:val="0"/>
                          <w:marTop w:val="0"/>
                          <w:marBottom w:val="0"/>
                          <w:divBdr>
                            <w:top w:val="none" w:sz="0" w:space="0" w:color="auto"/>
                            <w:left w:val="none" w:sz="0" w:space="0" w:color="auto"/>
                            <w:bottom w:val="none" w:sz="0" w:space="0" w:color="auto"/>
                            <w:right w:val="none" w:sz="0" w:space="0" w:color="auto"/>
                          </w:divBdr>
                          <w:divsChild>
                            <w:div w:id="1873571752">
                              <w:marLeft w:val="0"/>
                              <w:marRight w:val="0"/>
                              <w:marTop w:val="0"/>
                              <w:marBottom w:val="0"/>
                              <w:divBdr>
                                <w:top w:val="none" w:sz="0" w:space="0" w:color="auto"/>
                                <w:left w:val="none" w:sz="0" w:space="0" w:color="auto"/>
                                <w:bottom w:val="none" w:sz="0" w:space="0" w:color="auto"/>
                                <w:right w:val="none" w:sz="0" w:space="0" w:color="auto"/>
                              </w:divBdr>
                              <w:divsChild>
                                <w:div w:id="1334918104">
                                  <w:marLeft w:val="0"/>
                                  <w:marRight w:val="0"/>
                                  <w:marTop w:val="0"/>
                                  <w:marBottom w:val="0"/>
                                  <w:divBdr>
                                    <w:top w:val="none" w:sz="0" w:space="0" w:color="auto"/>
                                    <w:left w:val="none" w:sz="0" w:space="0" w:color="auto"/>
                                    <w:bottom w:val="none" w:sz="0" w:space="0" w:color="auto"/>
                                    <w:right w:val="none" w:sz="0" w:space="0" w:color="auto"/>
                                  </w:divBdr>
                                  <w:divsChild>
                                    <w:div w:id="2096894372">
                                      <w:marLeft w:val="0"/>
                                      <w:marRight w:val="0"/>
                                      <w:marTop w:val="0"/>
                                      <w:marBottom w:val="0"/>
                                      <w:divBdr>
                                        <w:top w:val="none" w:sz="0" w:space="0" w:color="auto"/>
                                        <w:left w:val="none" w:sz="0" w:space="0" w:color="auto"/>
                                        <w:bottom w:val="none" w:sz="0" w:space="0" w:color="auto"/>
                                        <w:right w:val="none" w:sz="0" w:space="0" w:color="auto"/>
                                      </w:divBdr>
                                      <w:divsChild>
                                        <w:div w:id="89466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6836555">
          <w:marLeft w:val="0"/>
          <w:marRight w:val="0"/>
          <w:marTop w:val="0"/>
          <w:marBottom w:val="0"/>
          <w:divBdr>
            <w:top w:val="none" w:sz="0" w:space="0" w:color="auto"/>
            <w:left w:val="none" w:sz="0" w:space="0" w:color="auto"/>
            <w:bottom w:val="none" w:sz="0" w:space="0" w:color="auto"/>
            <w:right w:val="none" w:sz="0" w:space="0" w:color="auto"/>
          </w:divBdr>
          <w:divsChild>
            <w:div w:id="133766285">
              <w:marLeft w:val="0"/>
              <w:marRight w:val="0"/>
              <w:marTop w:val="0"/>
              <w:marBottom w:val="0"/>
              <w:divBdr>
                <w:top w:val="none" w:sz="0" w:space="0" w:color="auto"/>
                <w:left w:val="none" w:sz="0" w:space="0" w:color="auto"/>
                <w:bottom w:val="none" w:sz="0" w:space="0" w:color="auto"/>
                <w:right w:val="none" w:sz="0" w:space="0" w:color="auto"/>
              </w:divBdr>
              <w:divsChild>
                <w:div w:id="1995452733">
                  <w:marLeft w:val="0"/>
                  <w:marRight w:val="0"/>
                  <w:marTop w:val="0"/>
                  <w:marBottom w:val="0"/>
                  <w:divBdr>
                    <w:top w:val="none" w:sz="0" w:space="0" w:color="auto"/>
                    <w:left w:val="none" w:sz="0" w:space="0" w:color="auto"/>
                    <w:bottom w:val="none" w:sz="0" w:space="0" w:color="auto"/>
                    <w:right w:val="none" w:sz="0" w:space="0" w:color="auto"/>
                  </w:divBdr>
                  <w:divsChild>
                    <w:div w:id="1367633804">
                      <w:marLeft w:val="0"/>
                      <w:marRight w:val="0"/>
                      <w:marTop w:val="0"/>
                      <w:marBottom w:val="0"/>
                      <w:divBdr>
                        <w:top w:val="none" w:sz="0" w:space="0" w:color="auto"/>
                        <w:left w:val="none" w:sz="0" w:space="0" w:color="auto"/>
                        <w:bottom w:val="none" w:sz="0" w:space="0" w:color="auto"/>
                        <w:right w:val="none" w:sz="0" w:space="0" w:color="auto"/>
                      </w:divBdr>
                      <w:divsChild>
                        <w:div w:id="1821655197">
                          <w:marLeft w:val="0"/>
                          <w:marRight w:val="0"/>
                          <w:marTop w:val="0"/>
                          <w:marBottom w:val="0"/>
                          <w:divBdr>
                            <w:top w:val="none" w:sz="0" w:space="0" w:color="auto"/>
                            <w:left w:val="none" w:sz="0" w:space="0" w:color="auto"/>
                            <w:bottom w:val="none" w:sz="0" w:space="0" w:color="auto"/>
                            <w:right w:val="none" w:sz="0" w:space="0" w:color="auto"/>
                          </w:divBdr>
                          <w:divsChild>
                            <w:div w:id="119568131">
                              <w:marLeft w:val="0"/>
                              <w:marRight w:val="0"/>
                              <w:marTop w:val="0"/>
                              <w:marBottom w:val="0"/>
                              <w:divBdr>
                                <w:top w:val="none" w:sz="0" w:space="0" w:color="auto"/>
                                <w:left w:val="none" w:sz="0" w:space="0" w:color="auto"/>
                                <w:bottom w:val="none" w:sz="0" w:space="0" w:color="auto"/>
                                <w:right w:val="none" w:sz="0" w:space="0" w:color="auto"/>
                              </w:divBdr>
                              <w:divsChild>
                                <w:div w:id="1506437628">
                                  <w:marLeft w:val="0"/>
                                  <w:marRight w:val="0"/>
                                  <w:marTop w:val="0"/>
                                  <w:marBottom w:val="0"/>
                                  <w:divBdr>
                                    <w:top w:val="none" w:sz="0" w:space="0" w:color="auto"/>
                                    <w:left w:val="none" w:sz="0" w:space="0" w:color="auto"/>
                                    <w:bottom w:val="none" w:sz="0" w:space="0" w:color="auto"/>
                                    <w:right w:val="none" w:sz="0" w:space="0" w:color="auto"/>
                                  </w:divBdr>
                                  <w:divsChild>
                                    <w:div w:id="1436168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548041">
          <w:marLeft w:val="0"/>
          <w:marRight w:val="0"/>
          <w:marTop w:val="0"/>
          <w:marBottom w:val="0"/>
          <w:divBdr>
            <w:top w:val="none" w:sz="0" w:space="0" w:color="auto"/>
            <w:left w:val="none" w:sz="0" w:space="0" w:color="auto"/>
            <w:bottom w:val="none" w:sz="0" w:space="0" w:color="auto"/>
            <w:right w:val="none" w:sz="0" w:space="0" w:color="auto"/>
          </w:divBdr>
          <w:divsChild>
            <w:div w:id="1583490661">
              <w:marLeft w:val="0"/>
              <w:marRight w:val="0"/>
              <w:marTop w:val="0"/>
              <w:marBottom w:val="0"/>
              <w:divBdr>
                <w:top w:val="none" w:sz="0" w:space="0" w:color="auto"/>
                <w:left w:val="none" w:sz="0" w:space="0" w:color="auto"/>
                <w:bottom w:val="none" w:sz="0" w:space="0" w:color="auto"/>
                <w:right w:val="none" w:sz="0" w:space="0" w:color="auto"/>
              </w:divBdr>
              <w:divsChild>
                <w:div w:id="1314024488">
                  <w:marLeft w:val="0"/>
                  <w:marRight w:val="0"/>
                  <w:marTop w:val="0"/>
                  <w:marBottom w:val="0"/>
                  <w:divBdr>
                    <w:top w:val="none" w:sz="0" w:space="0" w:color="auto"/>
                    <w:left w:val="none" w:sz="0" w:space="0" w:color="auto"/>
                    <w:bottom w:val="none" w:sz="0" w:space="0" w:color="auto"/>
                    <w:right w:val="none" w:sz="0" w:space="0" w:color="auto"/>
                  </w:divBdr>
                  <w:divsChild>
                    <w:div w:id="674458213">
                      <w:marLeft w:val="0"/>
                      <w:marRight w:val="0"/>
                      <w:marTop w:val="0"/>
                      <w:marBottom w:val="0"/>
                      <w:divBdr>
                        <w:top w:val="none" w:sz="0" w:space="0" w:color="auto"/>
                        <w:left w:val="none" w:sz="0" w:space="0" w:color="auto"/>
                        <w:bottom w:val="none" w:sz="0" w:space="0" w:color="auto"/>
                        <w:right w:val="none" w:sz="0" w:space="0" w:color="auto"/>
                      </w:divBdr>
                      <w:divsChild>
                        <w:div w:id="1717192717">
                          <w:marLeft w:val="0"/>
                          <w:marRight w:val="0"/>
                          <w:marTop w:val="0"/>
                          <w:marBottom w:val="0"/>
                          <w:divBdr>
                            <w:top w:val="none" w:sz="0" w:space="0" w:color="auto"/>
                            <w:left w:val="none" w:sz="0" w:space="0" w:color="auto"/>
                            <w:bottom w:val="none" w:sz="0" w:space="0" w:color="auto"/>
                            <w:right w:val="none" w:sz="0" w:space="0" w:color="auto"/>
                          </w:divBdr>
                          <w:divsChild>
                            <w:div w:id="1478377029">
                              <w:marLeft w:val="0"/>
                              <w:marRight w:val="0"/>
                              <w:marTop w:val="0"/>
                              <w:marBottom w:val="0"/>
                              <w:divBdr>
                                <w:top w:val="none" w:sz="0" w:space="0" w:color="auto"/>
                                <w:left w:val="none" w:sz="0" w:space="0" w:color="auto"/>
                                <w:bottom w:val="none" w:sz="0" w:space="0" w:color="auto"/>
                                <w:right w:val="none" w:sz="0" w:space="0" w:color="auto"/>
                              </w:divBdr>
                              <w:divsChild>
                                <w:div w:id="824205324">
                                  <w:marLeft w:val="0"/>
                                  <w:marRight w:val="0"/>
                                  <w:marTop w:val="0"/>
                                  <w:marBottom w:val="0"/>
                                  <w:divBdr>
                                    <w:top w:val="none" w:sz="0" w:space="0" w:color="auto"/>
                                    <w:left w:val="none" w:sz="0" w:space="0" w:color="auto"/>
                                    <w:bottom w:val="none" w:sz="0" w:space="0" w:color="auto"/>
                                    <w:right w:val="none" w:sz="0" w:space="0" w:color="auto"/>
                                  </w:divBdr>
                                  <w:divsChild>
                                    <w:div w:id="223176375">
                                      <w:marLeft w:val="0"/>
                                      <w:marRight w:val="0"/>
                                      <w:marTop w:val="0"/>
                                      <w:marBottom w:val="0"/>
                                      <w:divBdr>
                                        <w:top w:val="none" w:sz="0" w:space="0" w:color="auto"/>
                                        <w:left w:val="none" w:sz="0" w:space="0" w:color="auto"/>
                                        <w:bottom w:val="none" w:sz="0" w:space="0" w:color="auto"/>
                                        <w:right w:val="none" w:sz="0" w:space="0" w:color="auto"/>
                                      </w:divBdr>
                                      <w:divsChild>
                                        <w:div w:id="210765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2538989">
          <w:marLeft w:val="0"/>
          <w:marRight w:val="0"/>
          <w:marTop w:val="0"/>
          <w:marBottom w:val="0"/>
          <w:divBdr>
            <w:top w:val="none" w:sz="0" w:space="0" w:color="auto"/>
            <w:left w:val="none" w:sz="0" w:space="0" w:color="auto"/>
            <w:bottom w:val="none" w:sz="0" w:space="0" w:color="auto"/>
            <w:right w:val="none" w:sz="0" w:space="0" w:color="auto"/>
          </w:divBdr>
          <w:divsChild>
            <w:div w:id="567886596">
              <w:marLeft w:val="0"/>
              <w:marRight w:val="0"/>
              <w:marTop w:val="0"/>
              <w:marBottom w:val="0"/>
              <w:divBdr>
                <w:top w:val="none" w:sz="0" w:space="0" w:color="auto"/>
                <w:left w:val="none" w:sz="0" w:space="0" w:color="auto"/>
                <w:bottom w:val="none" w:sz="0" w:space="0" w:color="auto"/>
                <w:right w:val="none" w:sz="0" w:space="0" w:color="auto"/>
              </w:divBdr>
              <w:divsChild>
                <w:div w:id="1007487518">
                  <w:marLeft w:val="0"/>
                  <w:marRight w:val="0"/>
                  <w:marTop w:val="0"/>
                  <w:marBottom w:val="0"/>
                  <w:divBdr>
                    <w:top w:val="none" w:sz="0" w:space="0" w:color="auto"/>
                    <w:left w:val="none" w:sz="0" w:space="0" w:color="auto"/>
                    <w:bottom w:val="none" w:sz="0" w:space="0" w:color="auto"/>
                    <w:right w:val="none" w:sz="0" w:space="0" w:color="auto"/>
                  </w:divBdr>
                  <w:divsChild>
                    <w:div w:id="835926068">
                      <w:marLeft w:val="0"/>
                      <w:marRight w:val="0"/>
                      <w:marTop w:val="0"/>
                      <w:marBottom w:val="0"/>
                      <w:divBdr>
                        <w:top w:val="none" w:sz="0" w:space="0" w:color="auto"/>
                        <w:left w:val="none" w:sz="0" w:space="0" w:color="auto"/>
                        <w:bottom w:val="none" w:sz="0" w:space="0" w:color="auto"/>
                        <w:right w:val="none" w:sz="0" w:space="0" w:color="auto"/>
                      </w:divBdr>
                      <w:divsChild>
                        <w:div w:id="937446944">
                          <w:marLeft w:val="0"/>
                          <w:marRight w:val="0"/>
                          <w:marTop w:val="0"/>
                          <w:marBottom w:val="0"/>
                          <w:divBdr>
                            <w:top w:val="none" w:sz="0" w:space="0" w:color="auto"/>
                            <w:left w:val="none" w:sz="0" w:space="0" w:color="auto"/>
                            <w:bottom w:val="none" w:sz="0" w:space="0" w:color="auto"/>
                            <w:right w:val="none" w:sz="0" w:space="0" w:color="auto"/>
                          </w:divBdr>
                          <w:divsChild>
                            <w:div w:id="1423645339">
                              <w:marLeft w:val="0"/>
                              <w:marRight w:val="0"/>
                              <w:marTop w:val="0"/>
                              <w:marBottom w:val="0"/>
                              <w:divBdr>
                                <w:top w:val="none" w:sz="0" w:space="0" w:color="auto"/>
                                <w:left w:val="none" w:sz="0" w:space="0" w:color="auto"/>
                                <w:bottom w:val="none" w:sz="0" w:space="0" w:color="auto"/>
                                <w:right w:val="none" w:sz="0" w:space="0" w:color="auto"/>
                              </w:divBdr>
                              <w:divsChild>
                                <w:div w:id="1974823335">
                                  <w:marLeft w:val="0"/>
                                  <w:marRight w:val="0"/>
                                  <w:marTop w:val="0"/>
                                  <w:marBottom w:val="0"/>
                                  <w:divBdr>
                                    <w:top w:val="none" w:sz="0" w:space="0" w:color="auto"/>
                                    <w:left w:val="none" w:sz="0" w:space="0" w:color="auto"/>
                                    <w:bottom w:val="none" w:sz="0" w:space="0" w:color="auto"/>
                                    <w:right w:val="none" w:sz="0" w:space="0" w:color="auto"/>
                                  </w:divBdr>
                                  <w:divsChild>
                                    <w:div w:id="46917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9248433">
          <w:marLeft w:val="0"/>
          <w:marRight w:val="0"/>
          <w:marTop w:val="0"/>
          <w:marBottom w:val="0"/>
          <w:divBdr>
            <w:top w:val="none" w:sz="0" w:space="0" w:color="auto"/>
            <w:left w:val="none" w:sz="0" w:space="0" w:color="auto"/>
            <w:bottom w:val="none" w:sz="0" w:space="0" w:color="auto"/>
            <w:right w:val="none" w:sz="0" w:space="0" w:color="auto"/>
          </w:divBdr>
          <w:divsChild>
            <w:div w:id="814502">
              <w:marLeft w:val="0"/>
              <w:marRight w:val="0"/>
              <w:marTop w:val="0"/>
              <w:marBottom w:val="0"/>
              <w:divBdr>
                <w:top w:val="none" w:sz="0" w:space="0" w:color="auto"/>
                <w:left w:val="none" w:sz="0" w:space="0" w:color="auto"/>
                <w:bottom w:val="none" w:sz="0" w:space="0" w:color="auto"/>
                <w:right w:val="none" w:sz="0" w:space="0" w:color="auto"/>
              </w:divBdr>
              <w:divsChild>
                <w:div w:id="1750152629">
                  <w:marLeft w:val="0"/>
                  <w:marRight w:val="0"/>
                  <w:marTop w:val="0"/>
                  <w:marBottom w:val="0"/>
                  <w:divBdr>
                    <w:top w:val="none" w:sz="0" w:space="0" w:color="auto"/>
                    <w:left w:val="none" w:sz="0" w:space="0" w:color="auto"/>
                    <w:bottom w:val="none" w:sz="0" w:space="0" w:color="auto"/>
                    <w:right w:val="none" w:sz="0" w:space="0" w:color="auto"/>
                  </w:divBdr>
                  <w:divsChild>
                    <w:div w:id="1255701522">
                      <w:marLeft w:val="0"/>
                      <w:marRight w:val="0"/>
                      <w:marTop w:val="0"/>
                      <w:marBottom w:val="0"/>
                      <w:divBdr>
                        <w:top w:val="none" w:sz="0" w:space="0" w:color="auto"/>
                        <w:left w:val="none" w:sz="0" w:space="0" w:color="auto"/>
                        <w:bottom w:val="none" w:sz="0" w:space="0" w:color="auto"/>
                        <w:right w:val="none" w:sz="0" w:space="0" w:color="auto"/>
                      </w:divBdr>
                      <w:divsChild>
                        <w:div w:id="1296451281">
                          <w:marLeft w:val="0"/>
                          <w:marRight w:val="0"/>
                          <w:marTop w:val="0"/>
                          <w:marBottom w:val="0"/>
                          <w:divBdr>
                            <w:top w:val="none" w:sz="0" w:space="0" w:color="auto"/>
                            <w:left w:val="none" w:sz="0" w:space="0" w:color="auto"/>
                            <w:bottom w:val="none" w:sz="0" w:space="0" w:color="auto"/>
                            <w:right w:val="none" w:sz="0" w:space="0" w:color="auto"/>
                          </w:divBdr>
                          <w:divsChild>
                            <w:div w:id="850727008">
                              <w:marLeft w:val="0"/>
                              <w:marRight w:val="0"/>
                              <w:marTop w:val="0"/>
                              <w:marBottom w:val="0"/>
                              <w:divBdr>
                                <w:top w:val="none" w:sz="0" w:space="0" w:color="auto"/>
                                <w:left w:val="none" w:sz="0" w:space="0" w:color="auto"/>
                                <w:bottom w:val="none" w:sz="0" w:space="0" w:color="auto"/>
                                <w:right w:val="none" w:sz="0" w:space="0" w:color="auto"/>
                              </w:divBdr>
                              <w:divsChild>
                                <w:div w:id="615791151">
                                  <w:marLeft w:val="0"/>
                                  <w:marRight w:val="0"/>
                                  <w:marTop w:val="0"/>
                                  <w:marBottom w:val="0"/>
                                  <w:divBdr>
                                    <w:top w:val="none" w:sz="0" w:space="0" w:color="auto"/>
                                    <w:left w:val="none" w:sz="0" w:space="0" w:color="auto"/>
                                    <w:bottom w:val="none" w:sz="0" w:space="0" w:color="auto"/>
                                    <w:right w:val="none" w:sz="0" w:space="0" w:color="auto"/>
                                  </w:divBdr>
                                  <w:divsChild>
                                    <w:div w:id="1222902828">
                                      <w:marLeft w:val="0"/>
                                      <w:marRight w:val="0"/>
                                      <w:marTop w:val="0"/>
                                      <w:marBottom w:val="0"/>
                                      <w:divBdr>
                                        <w:top w:val="none" w:sz="0" w:space="0" w:color="auto"/>
                                        <w:left w:val="none" w:sz="0" w:space="0" w:color="auto"/>
                                        <w:bottom w:val="none" w:sz="0" w:space="0" w:color="auto"/>
                                        <w:right w:val="none" w:sz="0" w:space="0" w:color="auto"/>
                                      </w:divBdr>
                                      <w:divsChild>
                                        <w:div w:id="156968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0397061">
          <w:marLeft w:val="0"/>
          <w:marRight w:val="0"/>
          <w:marTop w:val="0"/>
          <w:marBottom w:val="0"/>
          <w:divBdr>
            <w:top w:val="none" w:sz="0" w:space="0" w:color="auto"/>
            <w:left w:val="none" w:sz="0" w:space="0" w:color="auto"/>
            <w:bottom w:val="none" w:sz="0" w:space="0" w:color="auto"/>
            <w:right w:val="none" w:sz="0" w:space="0" w:color="auto"/>
          </w:divBdr>
          <w:divsChild>
            <w:div w:id="1171456012">
              <w:marLeft w:val="0"/>
              <w:marRight w:val="0"/>
              <w:marTop w:val="0"/>
              <w:marBottom w:val="0"/>
              <w:divBdr>
                <w:top w:val="none" w:sz="0" w:space="0" w:color="auto"/>
                <w:left w:val="none" w:sz="0" w:space="0" w:color="auto"/>
                <w:bottom w:val="none" w:sz="0" w:space="0" w:color="auto"/>
                <w:right w:val="none" w:sz="0" w:space="0" w:color="auto"/>
              </w:divBdr>
              <w:divsChild>
                <w:div w:id="1454910015">
                  <w:marLeft w:val="0"/>
                  <w:marRight w:val="0"/>
                  <w:marTop w:val="0"/>
                  <w:marBottom w:val="0"/>
                  <w:divBdr>
                    <w:top w:val="none" w:sz="0" w:space="0" w:color="auto"/>
                    <w:left w:val="none" w:sz="0" w:space="0" w:color="auto"/>
                    <w:bottom w:val="none" w:sz="0" w:space="0" w:color="auto"/>
                    <w:right w:val="none" w:sz="0" w:space="0" w:color="auto"/>
                  </w:divBdr>
                  <w:divsChild>
                    <w:div w:id="948581822">
                      <w:marLeft w:val="0"/>
                      <w:marRight w:val="0"/>
                      <w:marTop w:val="0"/>
                      <w:marBottom w:val="0"/>
                      <w:divBdr>
                        <w:top w:val="none" w:sz="0" w:space="0" w:color="auto"/>
                        <w:left w:val="none" w:sz="0" w:space="0" w:color="auto"/>
                        <w:bottom w:val="none" w:sz="0" w:space="0" w:color="auto"/>
                        <w:right w:val="none" w:sz="0" w:space="0" w:color="auto"/>
                      </w:divBdr>
                      <w:divsChild>
                        <w:div w:id="837114671">
                          <w:marLeft w:val="0"/>
                          <w:marRight w:val="0"/>
                          <w:marTop w:val="0"/>
                          <w:marBottom w:val="0"/>
                          <w:divBdr>
                            <w:top w:val="none" w:sz="0" w:space="0" w:color="auto"/>
                            <w:left w:val="none" w:sz="0" w:space="0" w:color="auto"/>
                            <w:bottom w:val="none" w:sz="0" w:space="0" w:color="auto"/>
                            <w:right w:val="none" w:sz="0" w:space="0" w:color="auto"/>
                          </w:divBdr>
                          <w:divsChild>
                            <w:div w:id="700740440">
                              <w:marLeft w:val="0"/>
                              <w:marRight w:val="0"/>
                              <w:marTop w:val="0"/>
                              <w:marBottom w:val="0"/>
                              <w:divBdr>
                                <w:top w:val="none" w:sz="0" w:space="0" w:color="auto"/>
                                <w:left w:val="none" w:sz="0" w:space="0" w:color="auto"/>
                                <w:bottom w:val="none" w:sz="0" w:space="0" w:color="auto"/>
                                <w:right w:val="none" w:sz="0" w:space="0" w:color="auto"/>
                              </w:divBdr>
                              <w:divsChild>
                                <w:div w:id="412554412">
                                  <w:marLeft w:val="0"/>
                                  <w:marRight w:val="0"/>
                                  <w:marTop w:val="0"/>
                                  <w:marBottom w:val="0"/>
                                  <w:divBdr>
                                    <w:top w:val="none" w:sz="0" w:space="0" w:color="auto"/>
                                    <w:left w:val="none" w:sz="0" w:space="0" w:color="auto"/>
                                    <w:bottom w:val="none" w:sz="0" w:space="0" w:color="auto"/>
                                    <w:right w:val="none" w:sz="0" w:space="0" w:color="auto"/>
                                  </w:divBdr>
                                  <w:divsChild>
                                    <w:div w:id="106807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437249">
          <w:marLeft w:val="0"/>
          <w:marRight w:val="0"/>
          <w:marTop w:val="0"/>
          <w:marBottom w:val="0"/>
          <w:divBdr>
            <w:top w:val="none" w:sz="0" w:space="0" w:color="auto"/>
            <w:left w:val="none" w:sz="0" w:space="0" w:color="auto"/>
            <w:bottom w:val="none" w:sz="0" w:space="0" w:color="auto"/>
            <w:right w:val="none" w:sz="0" w:space="0" w:color="auto"/>
          </w:divBdr>
          <w:divsChild>
            <w:div w:id="405806169">
              <w:marLeft w:val="0"/>
              <w:marRight w:val="0"/>
              <w:marTop w:val="0"/>
              <w:marBottom w:val="0"/>
              <w:divBdr>
                <w:top w:val="none" w:sz="0" w:space="0" w:color="auto"/>
                <w:left w:val="none" w:sz="0" w:space="0" w:color="auto"/>
                <w:bottom w:val="none" w:sz="0" w:space="0" w:color="auto"/>
                <w:right w:val="none" w:sz="0" w:space="0" w:color="auto"/>
              </w:divBdr>
              <w:divsChild>
                <w:div w:id="453402988">
                  <w:marLeft w:val="0"/>
                  <w:marRight w:val="0"/>
                  <w:marTop w:val="0"/>
                  <w:marBottom w:val="0"/>
                  <w:divBdr>
                    <w:top w:val="none" w:sz="0" w:space="0" w:color="auto"/>
                    <w:left w:val="none" w:sz="0" w:space="0" w:color="auto"/>
                    <w:bottom w:val="none" w:sz="0" w:space="0" w:color="auto"/>
                    <w:right w:val="none" w:sz="0" w:space="0" w:color="auto"/>
                  </w:divBdr>
                  <w:divsChild>
                    <w:div w:id="815417463">
                      <w:marLeft w:val="0"/>
                      <w:marRight w:val="0"/>
                      <w:marTop w:val="0"/>
                      <w:marBottom w:val="0"/>
                      <w:divBdr>
                        <w:top w:val="none" w:sz="0" w:space="0" w:color="auto"/>
                        <w:left w:val="none" w:sz="0" w:space="0" w:color="auto"/>
                        <w:bottom w:val="none" w:sz="0" w:space="0" w:color="auto"/>
                        <w:right w:val="none" w:sz="0" w:space="0" w:color="auto"/>
                      </w:divBdr>
                      <w:divsChild>
                        <w:div w:id="133959689">
                          <w:marLeft w:val="0"/>
                          <w:marRight w:val="0"/>
                          <w:marTop w:val="0"/>
                          <w:marBottom w:val="0"/>
                          <w:divBdr>
                            <w:top w:val="none" w:sz="0" w:space="0" w:color="auto"/>
                            <w:left w:val="none" w:sz="0" w:space="0" w:color="auto"/>
                            <w:bottom w:val="none" w:sz="0" w:space="0" w:color="auto"/>
                            <w:right w:val="none" w:sz="0" w:space="0" w:color="auto"/>
                          </w:divBdr>
                          <w:divsChild>
                            <w:div w:id="70540985">
                              <w:marLeft w:val="0"/>
                              <w:marRight w:val="0"/>
                              <w:marTop w:val="0"/>
                              <w:marBottom w:val="0"/>
                              <w:divBdr>
                                <w:top w:val="none" w:sz="0" w:space="0" w:color="auto"/>
                                <w:left w:val="none" w:sz="0" w:space="0" w:color="auto"/>
                                <w:bottom w:val="none" w:sz="0" w:space="0" w:color="auto"/>
                                <w:right w:val="none" w:sz="0" w:space="0" w:color="auto"/>
                              </w:divBdr>
                              <w:divsChild>
                                <w:div w:id="899559357">
                                  <w:marLeft w:val="0"/>
                                  <w:marRight w:val="0"/>
                                  <w:marTop w:val="0"/>
                                  <w:marBottom w:val="0"/>
                                  <w:divBdr>
                                    <w:top w:val="none" w:sz="0" w:space="0" w:color="auto"/>
                                    <w:left w:val="none" w:sz="0" w:space="0" w:color="auto"/>
                                    <w:bottom w:val="none" w:sz="0" w:space="0" w:color="auto"/>
                                    <w:right w:val="none" w:sz="0" w:space="0" w:color="auto"/>
                                  </w:divBdr>
                                  <w:divsChild>
                                    <w:div w:id="1307927770">
                                      <w:marLeft w:val="0"/>
                                      <w:marRight w:val="0"/>
                                      <w:marTop w:val="0"/>
                                      <w:marBottom w:val="0"/>
                                      <w:divBdr>
                                        <w:top w:val="none" w:sz="0" w:space="0" w:color="auto"/>
                                        <w:left w:val="none" w:sz="0" w:space="0" w:color="auto"/>
                                        <w:bottom w:val="none" w:sz="0" w:space="0" w:color="auto"/>
                                        <w:right w:val="none" w:sz="0" w:space="0" w:color="auto"/>
                                      </w:divBdr>
                                      <w:divsChild>
                                        <w:div w:id="94430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9786615">
          <w:marLeft w:val="0"/>
          <w:marRight w:val="0"/>
          <w:marTop w:val="0"/>
          <w:marBottom w:val="0"/>
          <w:divBdr>
            <w:top w:val="none" w:sz="0" w:space="0" w:color="auto"/>
            <w:left w:val="none" w:sz="0" w:space="0" w:color="auto"/>
            <w:bottom w:val="none" w:sz="0" w:space="0" w:color="auto"/>
            <w:right w:val="none" w:sz="0" w:space="0" w:color="auto"/>
          </w:divBdr>
          <w:divsChild>
            <w:div w:id="723875610">
              <w:marLeft w:val="0"/>
              <w:marRight w:val="0"/>
              <w:marTop w:val="0"/>
              <w:marBottom w:val="0"/>
              <w:divBdr>
                <w:top w:val="none" w:sz="0" w:space="0" w:color="auto"/>
                <w:left w:val="none" w:sz="0" w:space="0" w:color="auto"/>
                <w:bottom w:val="none" w:sz="0" w:space="0" w:color="auto"/>
                <w:right w:val="none" w:sz="0" w:space="0" w:color="auto"/>
              </w:divBdr>
              <w:divsChild>
                <w:div w:id="1228413908">
                  <w:marLeft w:val="0"/>
                  <w:marRight w:val="0"/>
                  <w:marTop w:val="0"/>
                  <w:marBottom w:val="0"/>
                  <w:divBdr>
                    <w:top w:val="none" w:sz="0" w:space="0" w:color="auto"/>
                    <w:left w:val="none" w:sz="0" w:space="0" w:color="auto"/>
                    <w:bottom w:val="none" w:sz="0" w:space="0" w:color="auto"/>
                    <w:right w:val="none" w:sz="0" w:space="0" w:color="auto"/>
                  </w:divBdr>
                  <w:divsChild>
                    <w:div w:id="1756395954">
                      <w:marLeft w:val="0"/>
                      <w:marRight w:val="0"/>
                      <w:marTop w:val="0"/>
                      <w:marBottom w:val="0"/>
                      <w:divBdr>
                        <w:top w:val="none" w:sz="0" w:space="0" w:color="auto"/>
                        <w:left w:val="none" w:sz="0" w:space="0" w:color="auto"/>
                        <w:bottom w:val="none" w:sz="0" w:space="0" w:color="auto"/>
                        <w:right w:val="none" w:sz="0" w:space="0" w:color="auto"/>
                      </w:divBdr>
                      <w:divsChild>
                        <w:div w:id="127360019">
                          <w:marLeft w:val="0"/>
                          <w:marRight w:val="0"/>
                          <w:marTop w:val="0"/>
                          <w:marBottom w:val="0"/>
                          <w:divBdr>
                            <w:top w:val="none" w:sz="0" w:space="0" w:color="auto"/>
                            <w:left w:val="none" w:sz="0" w:space="0" w:color="auto"/>
                            <w:bottom w:val="none" w:sz="0" w:space="0" w:color="auto"/>
                            <w:right w:val="none" w:sz="0" w:space="0" w:color="auto"/>
                          </w:divBdr>
                          <w:divsChild>
                            <w:div w:id="471874341">
                              <w:marLeft w:val="0"/>
                              <w:marRight w:val="0"/>
                              <w:marTop w:val="0"/>
                              <w:marBottom w:val="0"/>
                              <w:divBdr>
                                <w:top w:val="none" w:sz="0" w:space="0" w:color="auto"/>
                                <w:left w:val="none" w:sz="0" w:space="0" w:color="auto"/>
                                <w:bottom w:val="none" w:sz="0" w:space="0" w:color="auto"/>
                                <w:right w:val="none" w:sz="0" w:space="0" w:color="auto"/>
                              </w:divBdr>
                              <w:divsChild>
                                <w:div w:id="511526474">
                                  <w:marLeft w:val="0"/>
                                  <w:marRight w:val="0"/>
                                  <w:marTop w:val="0"/>
                                  <w:marBottom w:val="0"/>
                                  <w:divBdr>
                                    <w:top w:val="none" w:sz="0" w:space="0" w:color="auto"/>
                                    <w:left w:val="none" w:sz="0" w:space="0" w:color="auto"/>
                                    <w:bottom w:val="none" w:sz="0" w:space="0" w:color="auto"/>
                                    <w:right w:val="none" w:sz="0" w:space="0" w:color="auto"/>
                                  </w:divBdr>
                                  <w:divsChild>
                                    <w:div w:id="14676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449038">
      <w:bodyDiv w:val="1"/>
      <w:marLeft w:val="0"/>
      <w:marRight w:val="0"/>
      <w:marTop w:val="0"/>
      <w:marBottom w:val="0"/>
      <w:divBdr>
        <w:top w:val="none" w:sz="0" w:space="0" w:color="auto"/>
        <w:left w:val="none" w:sz="0" w:space="0" w:color="auto"/>
        <w:bottom w:val="none" w:sz="0" w:space="0" w:color="auto"/>
        <w:right w:val="none" w:sz="0" w:space="0" w:color="auto"/>
      </w:divBdr>
    </w:div>
    <w:div w:id="690230625">
      <w:bodyDiv w:val="1"/>
      <w:marLeft w:val="0"/>
      <w:marRight w:val="0"/>
      <w:marTop w:val="0"/>
      <w:marBottom w:val="0"/>
      <w:divBdr>
        <w:top w:val="none" w:sz="0" w:space="0" w:color="auto"/>
        <w:left w:val="none" w:sz="0" w:space="0" w:color="auto"/>
        <w:bottom w:val="none" w:sz="0" w:space="0" w:color="auto"/>
        <w:right w:val="none" w:sz="0" w:space="0" w:color="auto"/>
      </w:divBdr>
    </w:div>
    <w:div w:id="767893198">
      <w:bodyDiv w:val="1"/>
      <w:marLeft w:val="0"/>
      <w:marRight w:val="0"/>
      <w:marTop w:val="0"/>
      <w:marBottom w:val="0"/>
      <w:divBdr>
        <w:top w:val="none" w:sz="0" w:space="0" w:color="auto"/>
        <w:left w:val="none" w:sz="0" w:space="0" w:color="auto"/>
        <w:bottom w:val="none" w:sz="0" w:space="0" w:color="auto"/>
        <w:right w:val="none" w:sz="0" w:space="0" w:color="auto"/>
      </w:divBdr>
    </w:div>
    <w:div w:id="855735144">
      <w:bodyDiv w:val="1"/>
      <w:marLeft w:val="0"/>
      <w:marRight w:val="0"/>
      <w:marTop w:val="0"/>
      <w:marBottom w:val="0"/>
      <w:divBdr>
        <w:top w:val="none" w:sz="0" w:space="0" w:color="auto"/>
        <w:left w:val="none" w:sz="0" w:space="0" w:color="auto"/>
        <w:bottom w:val="none" w:sz="0" w:space="0" w:color="auto"/>
        <w:right w:val="none" w:sz="0" w:space="0" w:color="auto"/>
      </w:divBdr>
    </w:div>
    <w:div w:id="1060129220">
      <w:bodyDiv w:val="1"/>
      <w:marLeft w:val="0"/>
      <w:marRight w:val="0"/>
      <w:marTop w:val="0"/>
      <w:marBottom w:val="0"/>
      <w:divBdr>
        <w:top w:val="none" w:sz="0" w:space="0" w:color="auto"/>
        <w:left w:val="none" w:sz="0" w:space="0" w:color="auto"/>
        <w:bottom w:val="none" w:sz="0" w:space="0" w:color="auto"/>
        <w:right w:val="none" w:sz="0" w:space="0" w:color="auto"/>
      </w:divBdr>
    </w:div>
    <w:div w:id="1118373217">
      <w:bodyDiv w:val="1"/>
      <w:marLeft w:val="0"/>
      <w:marRight w:val="0"/>
      <w:marTop w:val="0"/>
      <w:marBottom w:val="0"/>
      <w:divBdr>
        <w:top w:val="none" w:sz="0" w:space="0" w:color="auto"/>
        <w:left w:val="none" w:sz="0" w:space="0" w:color="auto"/>
        <w:bottom w:val="none" w:sz="0" w:space="0" w:color="auto"/>
        <w:right w:val="none" w:sz="0" w:space="0" w:color="auto"/>
      </w:divBdr>
    </w:div>
    <w:div w:id="1142583070">
      <w:bodyDiv w:val="1"/>
      <w:marLeft w:val="0"/>
      <w:marRight w:val="0"/>
      <w:marTop w:val="0"/>
      <w:marBottom w:val="0"/>
      <w:divBdr>
        <w:top w:val="none" w:sz="0" w:space="0" w:color="auto"/>
        <w:left w:val="none" w:sz="0" w:space="0" w:color="auto"/>
        <w:bottom w:val="none" w:sz="0" w:space="0" w:color="auto"/>
        <w:right w:val="none" w:sz="0" w:space="0" w:color="auto"/>
      </w:divBdr>
    </w:div>
    <w:div w:id="1221014140">
      <w:bodyDiv w:val="1"/>
      <w:marLeft w:val="0"/>
      <w:marRight w:val="0"/>
      <w:marTop w:val="0"/>
      <w:marBottom w:val="0"/>
      <w:divBdr>
        <w:top w:val="none" w:sz="0" w:space="0" w:color="auto"/>
        <w:left w:val="none" w:sz="0" w:space="0" w:color="auto"/>
        <w:bottom w:val="none" w:sz="0" w:space="0" w:color="auto"/>
        <w:right w:val="none" w:sz="0" w:space="0" w:color="auto"/>
      </w:divBdr>
    </w:div>
    <w:div w:id="1270242121">
      <w:bodyDiv w:val="1"/>
      <w:marLeft w:val="0"/>
      <w:marRight w:val="0"/>
      <w:marTop w:val="0"/>
      <w:marBottom w:val="0"/>
      <w:divBdr>
        <w:top w:val="none" w:sz="0" w:space="0" w:color="auto"/>
        <w:left w:val="none" w:sz="0" w:space="0" w:color="auto"/>
        <w:bottom w:val="none" w:sz="0" w:space="0" w:color="auto"/>
        <w:right w:val="none" w:sz="0" w:space="0" w:color="auto"/>
      </w:divBdr>
    </w:div>
    <w:div w:id="1314600711">
      <w:bodyDiv w:val="1"/>
      <w:marLeft w:val="0"/>
      <w:marRight w:val="0"/>
      <w:marTop w:val="0"/>
      <w:marBottom w:val="0"/>
      <w:divBdr>
        <w:top w:val="none" w:sz="0" w:space="0" w:color="auto"/>
        <w:left w:val="none" w:sz="0" w:space="0" w:color="auto"/>
        <w:bottom w:val="none" w:sz="0" w:space="0" w:color="auto"/>
        <w:right w:val="none" w:sz="0" w:space="0" w:color="auto"/>
      </w:divBdr>
    </w:div>
    <w:div w:id="1375502257">
      <w:bodyDiv w:val="1"/>
      <w:marLeft w:val="0"/>
      <w:marRight w:val="0"/>
      <w:marTop w:val="0"/>
      <w:marBottom w:val="0"/>
      <w:divBdr>
        <w:top w:val="none" w:sz="0" w:space="0" w:color="auto"/>
        <w:left w:val="none" w:sz="0" w:space="0" w:color="auto"/>
        <w:bottom w:val="none" w:sz="0" w:space="0" w:color="auto"/>
        <w:right w:val="none" w:sz="0" w:space="0" w:color="auto"/>
      </w:divBdr>
    </w:div>
    <w:div w:id="1755513184">
      <w:bodyDiv w:val="1"/>
      <w:marLeft w:val="0"/>
      <w:marRight w:val="0"/>
      <w:marTop w:val="0"/>
      <w:marBottom w:val="0"/>
      <w:divBdr>
        <w:top w:val="none" w:sz="0" w:space="0" w:color="auto"/>
        <w:left w:val="none" w:sz="0" w:space="0" w:color="auto"/>
        <w:bottom w:val="none" w:sz="0" w:space="0" w:color="auto"/>
        <w:right w:val="none" w:sz="0" w:space="0" w:color="auto"/>
      </w:divBdr>
    </w:div>
    <w:div w:id="1758014833">
      <w:bodyDiv w:val="1"/>
      <w:marLeft w:val="0"/>
      <w:marRight w:val="0"/>
      <w:marTop w:val="0"/>
      <w:marBottom w:val="0"/>
      <w:divBdr>
        <w:top w:val="none" w:sz="0" w:space="0" w:color="auto"/>
        <w:left w:val="none" w:sz="0" w:space="0" w:color="auto"/>
        <w:bottom w:val="none" w:sz="0" w:space="0" w:color="auto"/>
        <w:right w:val="none" w:sz="0" w:space="0" w:color="auto"/>
      </w:divBdr>
    </w:div>
    <w:div w:id="1961111821">
      <w:bodyDiv w:val="1"/>
      <w:marLeft w:val="0"/>
      <w:marRight w:val="0"/>
      <w:marTop w:val="0"/>
      <w:marBottom w:val="0"/>
      <w:divBdr>
        <w:top w:val="none" w:sz="0" w:space="0" w:color="auto"/>
        <w:left w:val="none" w:sz="0" w:space="0" w:color="auto"/>
        <w:bottom w:val="none" w:sz="0" w:space="0" w:color="auto"/>
        <w:right w:val="none" w:sz="0" w:space="0" w:color="auto"/>
      </w:divBdr>
    </w:div>
    <w:div w:id="209616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07/s40685-019-0085-7" TargetMode="External"/><Relationship Id="rId18" Type="http://schemas.openxmlformats.org/officeDocument/2006/relationships/hyperlink" Target="https://doi.org/10.1111/j.1467-6486.2008.00775.x" TargetMode="External"/><Relationship Id="rId26" Type="http://schemas.openxmlformats.org/officeDocument/2006/relationships/hyperlink" Target="https://doi.org/10.1016/j.ijpe.2021.108205" TargetMode="External"/><Relationship Id="rId39" Type="http://schemas.openxmlformats.org/officeDocument/2006/relationships/hyperlink" Target="https://doi.org/10.2307/25148636" TargetMode="External"/><Relationship Id="rId21" Type="http://schemas.openxmlformats.org/officeDocument/2006/relationships/hyperlink" Target="https://doi.org/10.1177/0312896219871976" TargetMode="External"/><Relationship Id="rId34" Type="http://schemas.openxmlformats.org/officeDocument/2006/relationships/hyperlink" Target="https://doi.org/10.1108/BPMJ-11-2022-0601" TargetMode="External"/><Relationship Id="rId42" Type="http://schemas.openxmlformats.org/officeDocument/2006/relationships/hyperlink" Target="https://doi.org/10.1108/MBE-09-2022-0113" TargetMode="External"/><Relationship Id="rId47" Type="http://schemas.openxmlformats.org/officeDocument/2006/relationships/hyperlink" Target="https://doi.org/10.1080/0960085X.2022.2027824" TargetMode="External"/><Relationship Id="rId50" Type="http://schemas.openxmlformats.org/officeDocument/2006/relationships/hyperlink" Target="https://doi.org/10.1111/1467-8551.12748" TargetMode="External"/><Relationship Id="rId55" Type="http://schemas.openxmlformats.org/officeDocument/2006/relationships/hyperlink" Target="https://doi.org/10.1108/IJOPM-04-2023-0274" TargetMode="External"/><Relationship Id="rId63" Type="http://schemas.openxmlformats.org/officeDocument/2006/relationships/hyperlink" Target="https://doi.org/10.1016/j.accinf.2021.100501" TargetMode="External"/><Relationship Id="rId7" Type="http://schemas.openxmlformats.org/officeDocument/2006/relationships/hyperlink" Target="https://doi.org/10.1016/j.phrp.2016.04.007" TargetMode="External"/><Relationship Id="rId2" Type="http://schemas.openxmlformats.org/officeDocument/2006/relationships/styles" Target="styles.xml"/><Relationship Id="rId16" Type="http://schemas.openxmlformats.org/officeDocument/2006/relationships/hyperlink" Target="https://doi.org/10.1177/0021886306286466" TargetMode="External"/><Relationship Id="rId29" Type="http://schemas.openxmlformats.org/officeDocument/2006/relationships/hyperlink" Target="https://doi.org/10.1016/j.hrmr.2010.07.001" TargetMode="External"/><Relationship Id="rId1" Type="http://schemas.openxmlformats.org/officeDocument/2006/relationships/numbering" Target="numbering.xml"/><Relationship Id="rId6" Type="http://schemas.openxmlformats.org/officeDocument/2006/relationships/hyperlink" Target="https://doi.org/10.1016/j.jom.2014.11.002" TargetMode="External"/><Relationship Id="rId11" Type="http://schemas.openxmlformats.org/officeDocument/2006/relationships/hyperlink" Target="https://doi.org/10.1002/jsc.2186" TargetMode="External"/><Relationship Id="rId24" Type="http://schemas.openxmlformats.org/officeDocument/2006/relationships/hyperlink" Target="https://doi.org/10.1111/isj.12228" TargetMode="External"/><Relationship Id="rId32" Type="http://schemas.openxmlformats.org/officeDocument/2006/relationships/hyperlink" Target="https://doi.org/10.1111/ijmr.12076" TargetMode="External"/><Relationship Id="rId37" Type="http://schemas.openxmlformats.org/officeDocument/2006/relationships/hyperlink" Target="https://doi.org/10.1080/08874417.2021.2015726" TargetMode="External"/><Relationship Id="rId40" Type="http://schemas.openxmlformats.org/officeDocument/2006/relationships/hyperlink" Target="https://doi.org/10.22495/jgrv11i3art7" TargetMode="External"/><Relationship Id="rId45" Type="http://schemas.openxmlformats.org/officeDocument/2006/relationships/hyperlink" Target="https://doi.org/10.1057/s41599-024-02771-6" TargetMode="External"/><Relationship Id="rId53" Type="http://schemas.openxmlformats.org/officeDocument/2006/relationships/hyperlink" Target="https://doi.org/10.2307/30036530" TargetMode="External"/><Relationship Id="rId58" Type="http://schemas.openxmlformats.org/officeDocument/2006/relationships/hyperlink" Target="https://doi.org/10.1016/j.lrp.2018.12.001"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3390/su14159520" TargetMode="External"/><Relationship Id="rId23" Type="http://schemas.openxmlformats.org/officeDocument/2006/relationships/hyperlink" Target="https://doi.org/10.4018/ijec.2015100101" TargetMode="External"/><Relationship Id="rId28" Type="http://schemas.openxmlformats.org/officeDocument/2006/relationships/hyperlink" Target="https://doi.org/10.1287/isre.2015.0577" TargetMode="External"/><Relationship Id="rId36" Type="http://schemas.openxmlformats.org/officeDocument/2006/relationships/hyperlink" Target="https://doi.org/10.1080/21568316.2018.1561506" TargetMode="External"/><Relationship Id="rId49" Type="http://schemas.openxmlformats.org/officeDocument/2006/relationships/hyperlink" Target="https://doi.org/10.1177/00081256211028739" TargetMode="External"/><Relationship Id="rId57" Type="http://schemas.openxmlformats.org/officeDocument/2006/relationships/hyperlink" Target="https://doi.org/10.1016/j.jbusres.2019.09.022" TargetMode="External"/><Relationship Id="rId61" Type="http://schemas.openxmlformats.org/officeDocument/2006/relationships/hyperlink" Target="https://doi.org/10.3390/su14137690" TargetMode="External"/><Relationship Id="rId10" Type="http://schemas.openxmlformats.org/officeDocument/2006/relationships/hyperlink" Target="https://doi.org/10.1080/00207543.2011.563827" TargetMode="External"/><Relationship Id="rId19" Type="http://schemas.openxmlformats.org/officeDocument/2006/relationships/hyperlink" Target="https://doi.org/10.1177/002224299305700304" TargetMode="External"/><Relationship Id="rId31" Type="http://schemas.openxmlformats.org/officeDocument/2006/relationships/hyperlink" Target="https://doi.org/10.1016/j.techfore.2023.123026" TargetMode="External"/><Relationship Id="rId44" Type="http://schemas.openxmlformats.org/officeDocument/2006/relationships/hyperlink" Target="https://doi.org/10.1016/j.ijinfomgt.2020.102143" TargetMode="External"/><Relationship Id="rId52" Type="http://schemas.openxmlformats.org/officeDocument/2006/relationships/hyperlink" Target="https://doi.org/10.17705/1jais.00767" TargetMode="External"/><Relationship Id="rId60" Type="http://schemas.openxmlformats.org/officeDocument/2006/relationships/hyperlink" Target="https://doi.org/10.5465/annals.2015.0134" TargetMode="External"/><Relationship Id="rId65"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doi.org/10.1002/mde.3764" TargetMode="External"/><Relationship Id="rId14" Type="http://schemas.openxmlformats.org/officeDocument/2006/relationships/hyperlink" Target="https://doi.org/10.1108/BIJ-10-2018-0317" TargetMode="External"/><Relationship Id="rId22" Type="http://schemas.openxmlformats.org/officeDocument/2006/relationships/hyperlink" Target="https://doi.org/10.17705/1jais.00147" TargetMode="External"/><Relationship Id="rId27" Type="http://schemas.openxmlformats.org/officeDocument/2006/relationships/hyperlink" Target="https://doi.org/10.1111/isj.12471" TargetMode="External"/><Relationship Id="rId30" Type="http://schemas.openxmlformats.org/officeDocument/2006/relationships/hyperlink" Target="https://doi.org/10.1287/isre.2022.1105" TargetMode="External"/><Relationship Id="rId35" Type="http://schemas.openxmlformats.org/officeDocument/2006/relationships/hyperlink" Target="https://doi.org/10.1177/0149206306290712" TargetMode="External"/><Relationship Id="rId43" Type="http://schemas.openxmlformats.org/officeDocument/2006/relationships/hyperlink" Target="https://doi.org/10.1057/palgrave.ejis.3000600" TargetMode="External"/><Relationship Id="rId48" Type="http://schemas.openxmlformats.org/officeDocument/2006/relationships/hyperlink" Target="https://doi.org/10.1146/annurev-psych-120710-100452" TargetMode="External"/><Relationship Id="rId56" Type="http://schemas.openxmlformats.org/officeDocument/2006/relationships/hyperlink" Target="https://doi.org/10.2307/41165852" TargetMode="External"/><Relationship Id="rId64" Type="http://schemas.openxmlformats.org/officeDocument/2006/relationships/image" Target="media/image1.png"/><Relationship Id="rId8" Type="http://schemas.openxmlformats.org/officeDocument/2006/relationships/hyperlink" Target="https://doi.org/10.1080/00207543.2012.728011" TargetMode="External"/><Relationship Id="rId51" Type="http://schemas.openxmlformats.org/officeDocument/2006/relationships/hyperlink" Target="https://doi.org/10.1080/13675567.2019.1683522" TargetMode="External"/><Relationship Id="rId3" Type="http://schemas.microsoft.com/office/2007/relationships/stylesWithEffects" Target="stylesWithEffects.xml"/><Relationship Id="rId12" Type="http://schemas.openxmlformats.org/officeDocument/2006/relationships/hyperlink" Target="https://doi.org/10.1080/00207543.2023.2179859" TargetMode="External"/><Relationship Id="rId17" Type="http://schemas.openxmlformats.org/officeDocument/2006/relationships/hyperlink" Target="https://doi.org/10.1080/0960085X.2022.2096492" TargetMode="External"/><Relationship Id="rId25" Type="http://schemas.openxmlformats.org/officeDocument/2006/relationships/hyperlink" Target="https://doi.org/10.1177/21582440211047576" TargetMode="External"/><Relationship Id="rId33" Type="http://schemas.openxmlformats.org/officeDocument/2006/relationships/hyperlink" Target="https://doi.org/10.1108/JMTM-01-2017-0014" TargetMode="External"/><Relationship Id="rId38" Type="http://schemas.openxmlformats.org/officeDocument/2006/relationships/hyperlink" Target="https://doi.org/10.1287/orsc.2.1.71" TargetMode="External"/><Relationship Id="rId46" Type="http://schemas.openxmlformats.org/officeDocument/2006/relationships/hyperlink" Target="https://doi.org/10.1002/j.2158-1592.2010.tb00125.x" TargetMode="External"/><Relationship Id="rId59" Type="http://schemas.openxmlformats.org/officeDocument/2006/relationships/hyperlink" Target="https://doi.org/10.1007/s11747-021-00771-5" TargetMode="External"/><Relationship Id="rId67" Type="http://schemas.openxmlformats.org/officeDocument/2006/relationships/theme" Target="theme/theme1.xml"/><Relationship Id="rId20" Type="http://schemas.openxmlformats.org/officeDocument/2006/relationships/hyperlink" Target="https://doi.org/10.1002/joom.1282" TargetMode="External"/><Relationship Id="rId41" Type="http://schemas.openxmlformats.org/officeDocument/2006/relationships/hyperlink" Target="https://doi.org/10.1007/s10464-007-9156-6" TargetMode="External"/><Relationship Id="rId54" Type="http://schemas.openxmlformats.org/officeDocument/2006/relationships/hyperlink" Target="https://doi.org/10.1108/SCM-09-2020-0434" TargetMode="External"/><Relationship Id="rId62" Type="http://schemas.openxmlformats.org/officeDocument/2006/relationships/hyperlink" Target="https://doi.org/10.4018/JGIM.3270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1625</TotalTime>
  <Pages>54</Pages>
  <Words>21445</Words>
  <Characters>122237</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32</cp:revision>
  <dcterms:created xsi:type="dcterms:W3CDTF">2025-06-29T01:44:00Z</dcterms:created>
  <dcterms:modified xsi:type="dcterms:W3CDTF">2025-07-09T04:53:00Z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zotero-version="7.0.16"&gt;&lt;session id="QofK7fDs"/&gt;&lt;style id="http://www.zotero.org/styles/apa" locale="en-US"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