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52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Table 1</w:t>
      </w:r>
      <w:r>
        <w:rPr>
          <w:rFonts w:hint="default" w:ascii="Times New Roman" w:hAnsi="Times New Roman" w:cs="Times New Roman"/>
          <w:sz w:val="24"/>
          <w:szCs w:val="32"/>
        </w:rPr>
        <w:t xml:space="preserve"> Comparison of clinical indicators between the two groups of patients</w:t>
      </w:r>
    </w:p>
    <w:tbl>
      <w:tblPr>
        <w:tblStyle w:val="4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2896"/>
        <w:gridCol w:w="3026"/>
        <w:gridCol w:w="1094"/>
      </w:tblGrid>
      <w:tr w14:paraId="0A827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pct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74FA456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bookmarkStart w:id="0" w:name="OLE_LINK1" w:colFirst="1" w:colLast="2"/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Indicators</w:t>
            </w:r>
          </w:p>
        </w:tc>
        <w:tc>
          <w:tcPr>
            <w:tcW w:w="1469" w:type="pct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4AFE3AF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Control group (n = 35)</w:t>
            </w:r>
          </w:p>
        </w:tc>
        <w:tc>
          <w:tcPr>
            <w:tcW w:w="1535" w:type="pct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71A801B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Observation group (n = 20)</w:t>
            </w:r>
          </w:p>
        </w:tc>
        <w:tc>
          <w:tcPr>
            <w:tcW w:w="555" w:type="pct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14:paraId="5AAFDC2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sz w:val="24"/>
                <w:szCs w:val="24"/>
                <w:lang w:val="en-US" w:eastAsia="zh-CN"/>
              </w:rPr>
              <w:t>P</w:t>
            </w:r>
          </w:p>
        </w:tc>
      </w:tr>
      <w:bookmarkEnd w:id="0"/>
      <w:tr w14:paraId="6E09D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pct"/>
            <w:tcBorders>
              <w:top w:val="single" w:color="auto" w:sz="12" w:space="0"/>
            </w:tcBorders>
            <w:vAlign w:val="center"/>
          </w:tcPr>
          <w:p w14:paraId="116617B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Gender</w:t>
            </w:r>
          </w:p>
        </w:tc>
        <w:tc>
          <w:tcPr>
            <w:tcW w:w="1469" w:type="pct"/>
            <w:tcBorders>
              <w:top w:val="single" w:color="auto" w:sz="12" w:space="0"/>
            </w:tcBorders>
            <w:vAlign w:val="center"/>
          </w:tcPr>
          <w:p w14:paraId="0C685F21"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535" w:type="pct"/>
            <w:tcBorders>
              <w:top w:val="single" w:color="auto" w:sz="12" w:space="0"/>
            </w:tcBorders>
            <w:vAlign w:val="center"/>
          </w:tcPr>
          <w:p w14:paraId="6ED5A094"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555" w:type="pct"/>
            <w:tcBorders>
              <w:top w:val="single" w:color="auto" w:sz="12" w:space="0"/>
            </w:tcBorders>
            <w:vAlign w:val="center"/>
          </w:tcPr>
          <w:p w14:paraId="0D97EE8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0.775</w:t>
            </w:r>
          </w:p>
        </w:tc>
      </w:tr>
      <w:tr w14:paraId="7E869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pct"/>
            <w:vAlign w:val="center"/>
          </w:tcPr>
          <w:p w14:paraId="7F3279B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Male</w:t>
            </w:r>
          </w:p>
        </w:tc>
        <w:tc>
          <w:tcPr>
            <w:tcW w:w="1469" w:type="pct"/>
            <w:vAlign w:val="center"/>
          </w:tcPr>
          <w:p w14:paraId="615A2A0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20 (57.14%)</w:t>
            </w:r>
          </w:p>
        </w:tc>
        <w:tc>
          <w:tcPr>
            <w:tcW w:w="1535" w:type="pct"/>
            <w:vAlign w:val="center"/>
          </w:tcPr>
          <w:p w14:paraId="21F43B9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13 (65.00%)</w:t>
            </w:r>
          </w:p>
        </w:tc>
        <w:tc>
          <w:tcPr>
            <w:tcW w:w="555" w:type="pct"/>
            <w:vAlign w:val="center"/>
          </w:tcPr>
          <w:p w14:paraId="69CD7220"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  <w:vertAlign w:val="baseline"/>
              </w:rPr>
            </w:pPr>
          </w:p>
        </w:tc>
      </w:tr>
      <w:tr w14:paraId="32134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pct"/>
            <w:vAlign w:val="center"/>
          </w:tcPr>
          <w:p w14:paraId="1419DDD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Female</w:t>
            </w:r>
          </w:p>
        </w:tc>
        <w:tc>
          <w:tcPr>
            <w:tcW w:w="1469" w:type="pct"/>
            <w:vAlign w:val="center"/>
          </w:tcPr>
          <w:p w14:paraId="511A851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 (42.86%)</w:t>
            </w:r>
          </w:p>
        </w:tc>
        <w:tc>
          <w:tcPr>
            <w:tcW w:w="1535" w:type="pct"/>
            <w:vAlign w:val="center"/>
          </w:tcPr>
          <w:p w14:paraId="4311177B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7 (35.00%)</w:t>
            </w:r>
          </w:p>
        </w:tc>
        <w:tc>
          <w:tcPr>
            <w:tcW w:w="555" w:type="pct"/>
            <w:vAlign w:val="center"/>
          </w:tcPr>
          <w:p w14:paraId="21920FC1"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  <w:vertAlign w:val="baseline"/>
              </w:rPr>
            </w:pPr>
          </w:p>
        </w:tc>
      </w:tr>
      <w:tr w14:paraId="70A6ED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pct"/>
            <w:vAlign w:val="center"/>
          </w:tcPr>
          <w:p w14:paraId="1D52417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Age (year)</w:t>
            </w:r>
          </w:p>
        </w:tc>
        <w:tc>
          <w:tcPr>
            <w:tcW w:w="1469" w:type="pct"/>
            <w:vAlign w:val="center"/>
          </w:tcPr>
          <w:p w14:paraId="5820E46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51.0 (49.0,55.0)</w:t>
            </w:r>
          </w:p>
        </w:tc>
        <w:tc>
          <w:tcPr>
            <w:tcW w:w="1535" w:type="pct"/>
            <w:vAlign w:val="center"/>
          </w:tcPr>
          <w:p w14:paraId="5DD5929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50.0 (49.0,52.3)</w:t>
            </w:r>
          </w:p>
        </w:tc>
        <w:tc>
          <w:tcPr>
            <w:tcW w:w="555" w:type="pct"/>
            <w:vAlign w:val="center"/>
          </w:tcPr>
          <w:p w14:paraId="51017F7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0.390</w:t>
            </w:r>
          </w:p>
        </w:tc>
      </w:tr>
      <w:tr w14:paraId="60311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pct"/>
            <w:vAlign w:val="center"/>
          </w:tcPr>
          <w:p w14:paraId="32FD750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Weight (kg)</w:t>
            </w:r>
          </w:p>
        </w:tc>
        <w:tc>
          <w:tcPr>
            <w:tcW w:w="1469" w:type="pct"/>
            <w:vAlign w:val="center"/>
          </w:tcPr>
          <w:p w14:paraId="5BF29A4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70.8 (67.3,75.6)</w:t>
            </w:r>
          </w:p>
        </w:tc>
        <w:tc>
          <w:tcPr>
            <w:tcW w:w="1535" w:type="pct"/>
            <w:vAlign w:val="center"/>
          </w:tcPr>
          <w:p w14:paraId="3B92EF4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71.6 (69.8,75.1)</w:t>
            </w:r>
          </w:p>
        </w:tc>
        <w:tc>
          <w:tcPr>
            <w:tcW w:w="555" w:type="pct"/>
            <w:vAlign w:val="center"/>
          </w:tcPr>
          <w:p w14:paraId="5C33F3F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0.643</w:t>
            </w:r>
          </w:p>
        </w:tc>
      </w:tr>
      <w:tr w14:paraId="2BC03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pct"/>
            <w:vAlign w:val="center"/>
          </w:tcPr>
          <w:p w14:paraId="2AA2E07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Pathogen type</w:t>
            </w:r>
          </w:p>
        </w:tc>
        <w:tc>
          <w:tcPr>
            <w:tcW w:w="1469" w:type="pct"/>
            <w:vAlign w:val="center"/>
          </w:tcPr>
          <w:p w14:paraId="1095D80A"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1535" w:type="pct"/>
            <w:vAlign w:val="center"/>
          </w:tcPr>
          <w:p w14:paraId="41FFB6E1"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  <w:vertAlign w:val="baseline"/>
              </w:rPr>
            </w:pPr>
          </w:p>
        </w:tc>
        <w:tc>
          <w:tcPr>
            <w:tcW w:w="555" w:type="pct"/>
            <w:vAlign w:val="center"/>
          </w:tcPr>
          <w:p w14:paraId="3C91C38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0.801</w:t>
            </w:r>
          </w:p>
        </w:tc>
      </w:tr>
      <w:tr w14:paraId="7E21C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pct"/>
            <w:vAlign w:val="center"/>
          </w:tcPr>
          <w:p w14:paraId="202D0BF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bookmarkStart w:id="1" w:name="OLE_LINK2" w:colFirst="0" w:colLast="0"/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Gram-positive bacteria</w:t>
            </w:r>
          </w:p>
        </w:tc>
        <w:tc>
          <w:tcPr>
            <w:tcW w:w="1469" w:type="pct"/>
            <w:vAlign w:val="center"/>
          </w:tcPr>
          <w:p w14:paraId="4ACDD59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15 (42.86%)</w:t>
            </w:r>
          </w:p>
        </w:tc>
        <w:tc>
          <w:tcPr>
            <w:tcW w:w="1535" w:type="pct"/>
            <w:vAlign w:val="center"/>
          </w:tcPr>
          <w:p w14:paraId="766AD3B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7 (35.00%)</w:t>
            </w:r>
          </w:p>
        </w:tc>
        <w:tc>
          <w:tcPr>
            <w:tcW w:w="555" w:type="pct"/>
            <w:vAlign w:val="center"/>
          </w:tcPr>
          <w:p w14:paraId="4B3C0624"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  <w:vertAlign w:val="baseline"/>
              </w:rPr>
            </w:pPr>
          </w:p>
        </w:tc>
      </w:tr>
      <w:tr w14:paraId="1D8C3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pct"/>
            <w:vAlign w:val="center"/>
          </w:tcPr>
          <w:p w14:paraId="01FC9107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Gram-negative bacteria</w:t>
            </w:r>
          </w:p>
        </w:tc>
        <w:tc>
          <w:tcPr>
            <w:tcW w:w="1469" w:type="pct"/>
            <w:vAlign w:val="center"/>
          </w:tcPr>
          <w:p w14:paraId="78CA252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16 (45.71%)</w:t>
            </w:r>
          </w:p>
        </w:tc>
        <w:tc>
          <w:tcPr>
            <w:tcW w:w="1535" w:type="pct"/>
            <w:vAlign w:val="center"/>
          </w:tcPr>
          <w:p w14:paraId="52C39CBD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11 (55.00%)</w:t>
            </w:r>
          </w:p>
        </w:tc>
        <w:tc>
          <w:tcPr>
            <w:tcW w:w="555" w:type="pct"/>
            <w:vAlign w:val="center"/>
          </w:tcPr>
          <w:p w14:paraId="5946EDFF"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  <w:vertAlign w:val="baseline"/>
              </w:rPr>
            </w:pPr>
          </w:p>
        </w:tc>
      </w:tr>
      <w:tr w14:paraId="649A8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pct"/>
            <w:vAlign w:val="center"/>
          </w:tcPr>
          <w:p w14:paraId="48BA79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Fungus</w:t>
            </w:r>
          </w:p>
        </w:tc>
        <w:tc>
          <w:tcPr>
            <w:tcW w:w="1469" w:type="pct"/>
            <w:vAlign w:val="center"/>
          </w:tcPr>
          <w:p w14:paraId="32BFD30E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4 (11.43%)</w:t>
            </w:r>
          </w:p>
        </w:tc>
        <w:tc>
          <w:tcPr>
            <w:tcW w:w="1535" w:type="pct"/>
            <w:vAlign w:val="center"/>
          </w:tcPr>
          <w:p w14:paraId="75CE1523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2 (10.00%)</w:t>
            </w:r>
          </w:p>
        </w:tc>
        <w:tc>
          <w:tcPr>
            <w:tcW w:w="555" w:type="pct"/>
            <w:vAlign w:val="center"/>
          </w:tcPr>
          <w:p w14:paraId="10058DE0"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sz w:val="24"/>
                <w:szCs w:val="24"/>
                <w:vertAlign w:val="baseline"/>
              </w:rPr>
            </w:pPr>
          </w:p>
        </w:tc>
      </w:tr>
      <w:bookmarkEnd w:id="1"/>
      <w:tr w14:paraId="2A603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8" w:type="pct"/>
            <w:tcBorders>
              <w:bottom w:val="single" w:color="auto" w:sz="12" w:space="0"/>
            </w:tcBorders>
            <w:vAlign w:val="center"/>
          </w:tcPr>
          <w:p w14:paraId="45C6B3A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Duration of disease (day)</w:t>
            </w:r>
          </w:p>
        </w:tc>
        <w:tc>
          <w:tcPr>
            <w:tcW w:w="1469" w:type="pct"/>
            <w:tcBorders>
              <w:bottom w:val="single" w:color="auto" w:sz="12" w:space="0"/>
            </w:tcBorders>
            <w:vAlign w:val="center"/>
          </w:tcPr>
          <w:p w14:paraId="67C6375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10.0 (8.5,12.0)</w:t>
            </w:r>
          </w:p>
        </w:tc>
        <w:tc>
          <w:tcPr>
            <w:tcW w:w="1535" w:type="pct"/>
            <w:tcBorders>
              <w:bottom w:val="single" w:color="auto" w:sz="12" w:space="0"/>
            </w:tcBorders>
            <w:vAlign w:val="center"/>
          </w:tcPr>
          <w:p w14:paraId="006F14E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11.0 (10.0,12.0)</w:t>
            </w:r>
          </w:p>
        </w:tc>
        <w:tc>
          <w:tcPr>
            <w:tcW w:w="555" w:type="pct"/>
            <w:tcBorders>
              <w:bottom w:val="single" w:color="auto" w:sz="12" w:space="0"/>
            </w:tcBorders>
            <w:vAlign w:val="center"/>
          </w:tcPr>
          <w:p w14:paraId="4AEF582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vertAlign w:val="baseline"/>
                <w:lang w:val="en-US" w:eastAsia="zh-CN"/>
              </w:rPr>
              <w:t>0.443</w:t>
            </w:r>
          </w:p>
        </w:tc>
      </w:tr>
    </w:tbl>
    <w:p w14:paraId="5FDC2A18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sz w:val="24"/>
          <w:szCs w:val="32"/>
        </w:rPr>
        <w:br w:type="page"/>
      </w:r>
    </w:p>
    <w:p w14:paraId="43CD2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</w:rPr>
        <w:t>Table 2</w:t>
      </w:r>
      <w:r>
        <w:rPr>
          <w:rFonts w:hint="default" w:ascii="Times New Roman" w:hAnsi="Times New Roman" w:cs="Times New Roman"/>
          <w:sz w:val="24"/>
          <w:szCs w:val="32"/>
        </w:rPr>
        <w:t xml:space="preserve"> Changes in blood gas indicators before and after intervention in two groups of patients</w:t>
      </w:r>
    </w:p>
    <w:tbl>
      <w:tblPr>
        <w:tblStyle w:val="3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1840"/>
        <w:gridCol w:w="1728"/>
        <w:gridCol w:w="2116"/>
        <w:gridCol w:w="2236"/>
      </w:tblGrid>
      <w:tr w14:paraId="42B0E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55" w:type="pct"/>
            <w:vMerge w:val="restart"/>
            <w:tcBorders>
              <w:top w:val="single" w:color="auto" w:sz="12" w:space="0"/>
              <w:left w:val="nil"/>
              <w:right w:val="nil"/>
            </w:tcBorders>
            <w:shd w:val="clear" w:color="auto" w:fill="auto"/>
            <w:vAlign w:val="center"/>
          </w:tcPr>
          <w:p w14:paraId="032E8BB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Groups</w:t>
            </w:r>
          </w:p>
        </w:tc>
        <w:tc>
          <w:tcPr>
            <w:tcW w:w="1961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 w14:paraId="08D18CDA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PaO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vertAlign w:val="subscript"/>
                <w:lang w:val="en-US" w:eastAsia="zh-CN"/>
              </w:rPr>
              <w:t xml:space="preserve">2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(mmHg)</w:t>
            </w:r>
          </w:p>
        </w:tc>
        <w:tc>
          <w:tcPr>
            <w:tcW w:w="1983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575E05AE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PaCO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vertAlign w:val="subscript"/>
                <w:lang w:val="en-US" w:eastAsia="zh-CN"/>
              </w:rPr>
              <w:t xml:space="preserve">2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(mmHg)</w:t>
            </w:r>
          </w:p>
        </w:tc>
      </w:tr>
      <w:tr w14:paraId="77E1A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055" w:type="pct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1DFE9D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09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 w14:paraId="5D98929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Before intervention</w:t>
            </w:r>
          </w:p>
        </w:tc>
        <w:tc>
          <w:tcPr>
            <w:tcW w:w="951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 w14:paraId="0024944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After intervention</w:t>
            </w:r>
          </w:p>
        </w:tc>
        <w:tc>
          <w:tcPr>
            <w:tcW w:w="1022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7DE7CC75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Before intervention</w:t>
            </w:r>
          </w:p>
        </w:tc>
        <w:tc>
          <w:tcPr>
            <w:tcW w:w="961" w:type="pc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0F1A62DE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After intervention</w:t>
            </w:r>
          </w:p>
        </w:tc>
      </w:tr>
      <w:tr w14:paraId="5EA29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55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BC810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Control group</w:t>
            </w:r>
          </w:p>
          <w:p w14:paraId="5E06844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(n = 35)</w:t>
            </w:r>
          </w:p>
        </w:tc>
        <w:tc>
          <w:tcPr>
            <w:tcW w:w="1009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0E2A4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56.0 (54.0,60.0)</w:t>
            </w:r>
          </w:p>
        </w:tc>
        <w:tc>
          <w:tcPr>
            <w:tcW w:w="951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E1EB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89.0 (85.5,93.0)*</w:t>
            </w:r>
          </w:p>
        </w:tc>
        <w:tc>
          <w:tcPr>
            <w:tcW w:w="1022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1F067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55.0 (52.5,58.0)</w:t>
            </w:r>
          </w:p>
        </w:tc>
        <w:tc>
          <w:tcPr>
            <w:tcW w:w="961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AAEA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46.0 (44.5,49.0)*</w:t>
            </w:r>
          </w:p>
        </w:tc>
      </w:tr>
      <w:tr w14:paraId="44154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AA8E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Observation group (n = 20)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8100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56.5 (55.0,59.0)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8D241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95.0 (93.8,98.3)*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2979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55.0 (54.0,58.0)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7B7F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41.0 (40.0,43.0)*</w:t>
            </w:r>
          </w:p>
        </w:tc>
      </w:tr>
      <w:tr w14:paraId="7B935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55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0D2E132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sz w:val="24"/>
                <w:szCs w:val="24"/>
                <w:lang w:val="en-US" w:eastAsia="zh-CN"/>
              </w:rPr>
              <w:t>P</w:t>
            </w:r>
          </w:p>
        </w:tc>
        <w:tc>
          <w:tcPr>
            <w:tcW w:w="1009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78C0172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0.893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24E111E3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&lt; 0.001</w:t>
            </w:r>
          </w:p>
        </w:tc>
        <w:tc>
          <w:tcPr>
            <w:tcW w:w="1022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36ADCA8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0.705</w:t>
            </w:r>
          </w:p>
        </w:tc>
        <w:tc>
          <w:tcPr>
            <w:tcW w:w="961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4E64A7EC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&lt; 0.001</w:t>
            </w:r>
          </w:p>
        </w:tc>
      </w:tr>
      <w:tr w14:paraId="5FF8BD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55" w:type="pct"/>
            <w:vMerge w:val="restar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9AFF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Groups</w:t>
            </w:r>
          </w:p>
        </w:tc>
        <w:tc>
          <w:tcPr>
            <w:tcW w:w="1961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 w14:paraId="2F61D13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SpO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(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%)</w:t>
            </w:r>
          </w:p>
        </w:tc>
        <w:tc>
          <w:tcPr>
            <w:tcW w:w="1983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3FC8763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PaO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/FiO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(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mmHg)</w:t>
            </w:r>
          </w:p>
        </w:tc>
      </w:tr>
      <w:tr w14:paraId="2C36C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55" w:type="pct"/>
            <w:vMerge w:val="continue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22926732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09" w:type="pct"/>
            <w:tcBorders>
              <w:top w:val="single" w:color="000000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677631E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Before intervention</w:t>
            </w:r>
          </w:p>
        </w:tc>
        <w:tc>
          <w:tcPr>
            <w:tcW w:w="951" w:type="pct"/>
            <w:tcBorders>
              <w:top w:val="single" w:color="000000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714B8A0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After intervention</w:t>
            </w:r>
          </w:p>
        </w:tc>
        <w:tc>
          <w:tcPr>
            <w:tcW w:w="1022" w:type="pct"/>
            <w:tcBorders>
              <w:top w:val="single" w:color="000000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13A93DE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Before intervention</w:t>
            </w:r>
          </w:p>
        </w:tc>
        <w:tc>
          <w:tcPr>
            <w:tcW w:w="961" w:type="pct"/>
            <w:tcBorders>
              <w:top w:val="single" w:color="000000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57FF6B4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After intervention</w:t>
            </w:r>
          </w:p>
        </w:tc>
      </w:tr>
      <w:tr w14:paraId="75712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55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91C79A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Control group</w:t>
            </w:r>
          </w:p>
          <w:p w14:paraId="26298E43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(n = 35)</w:t>
            </w:r>
          </w:p>
        </w:tc>
        <w:tc>
          <w:tcPr>
            <w:tcW w:w="1009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3FD9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88.0 (83.5,92.0)</w:t>
            </w:r>
          </w:p>
        </w:tc>
        <w:tc>
          <w:tcPr>
            <w:tcW w:w="951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D0CA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92.0 (88.0,96.5)*</w:t>
            </w:r>
          </w:p>
        </w:tc>
        <w:tc>
          <w:tcPr>
            <w:tcW w:w="1022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7A63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187.8 (179.6,198.9)</w:t>
            </w:r>
          </w:p>
        </w:tc>
        <w:tc>
          <w:tcPr>
            <w:tcW w:w="961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F248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296.1 (284.9,311.2)*</w:t>
            </w:r>
          </w:p>
        </w:tc>
      </w:tr>
      <w:tr w14:paraId="3D4AA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47CF5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Observation group (n = 20)</w:t>
            </w:r>
          </w:p>
        </w:tc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80A58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88.0 (86.0,91.3)</w:t>
            </w:r>
          </w:p>
        </w:tc>
        <w:tc>
          <w:tcPr>
            <w:tcW w:w="9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BC56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95.0 (93.8,99.0)*</w:t>
            </w: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2070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188.6 (184.4,197.2)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D4E3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324.7 (318.8,337.0)*</w:t>
            </w:r>
          </w:p>
        </w:tc>
      </w:tr>
      <w:tr w14:paraId="24ADD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055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13E46E2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1009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6AAB4F9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0.771</w:t>
            </w:r>
          </w:p>
        </w:tc>
        <w:tc>
          <w:tcPr>
            <w:tcW w:w="951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261E652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0.012</w:t>
            </w:r>
          </w:p>
        </w:tc>
        <w:tc>
          <w:tcPr>
            <w:tcW w:w="1022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367DBA7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0.832</w:t>
            </w:r>
          </w:p>
        </w:tc>
        <w:tc>
          <w:tcPr>
            <w:tcW w:w="961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72AF66D9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&lt; 0.001</w:t>
            </w:r>
          </w:p>
        </w:tc>
      </w:tr>
    </w:tbl>
    <w:p w14:paraId="58FAC3BF">
      <w:pPr>
        <w:rPr>
          <w:rFonts w:hint="default" w:ascii="Times New Roman" w:hAnsi="Times New Roman" w:cs="Times New Roman"/>
          <w:sz w:val="24"/>
          <w:szCs w:val="32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Note: </w:t>
      </w:r>
      <w:r>
        <w:rPr>
          <w:rFonts w:hint="default" w:ascii="Times New Roman" w:hAnsi="Times New Roman" w:cs="Times New Roman"/>
          <w:sz w:val="24"/>
          <w:szCs w:val="32"/>
        </w:rPr>
        <w:t>*</w:t>
      </w:r>
      <w:r>
        <w:rPr>
          <w:rFonts w:hint="eastAsia" w:ascii="Times New Roman" w:hAnsi="Times New Roman" w:cs="Times New Roman"/>
          <w:i/>
          <w:iCs/>
          <w:sz w:val="24"/>
          <w:szCs w:val="32"/>
          <w:lang w:val="en-US" w:eastAsia="zh-CN"/>
        </w:rPr>
        <w:t xml:space="preserve">P </w:t>
      </w:r>
      <w:r>
        <w:rPr>
          <w:rFonts w:hint="default" w:ascii="Times New Roman" w:hAnsi="Times New Roman" w:cs="Times New Roman"/>
          <w:sz w:val="24"/>
          <w:szCs w:val="32"/>
        </w:rPr>
        <w:t>&lt;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 xml:space="preserve">0.05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vs</w:t>
      </w:r>
      <w:r>
        <w:rPr>
          <w:rFonts w:hint="default" w:ascii="Times New Roman" w:hAnsi="Times New Roman" w:cs="Times New Roman"/>
          <w:sz w:val="24"/>
          <w:szCs w:val="32"/>
        </w:rPr>
        <w:t xml:space="preserve"> the same group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before intervention.</w:t>
      </w:r>
      <w:r>
        <w:rPr>
          <w:rFonts w:hint="default" w:ascii="Times New Roman" w:hAnsi="Times New Roman" w:cs="Times New Roman"/>
          <w:sz w:val="24"/>
          <w:szCs w:val="32"/>
        </w:rPr>
        <w:br w:type="page"/>
      </w:r>
    </w:p>
    <w:p w14:paraId="7CF32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cs="Times New Roman" w:eastAsiaTheme="minorEastAsia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sz w:val="24"/>
          <w:szCs w:val="32"/>
          <w:lang w:val="en-US" w:eastAsia="zh-CN"/>
        </w:rPr>
        <w:t>Table 3</w:t>
      </w:r>
      <w:r>
        <w:rPr>
          <w:rFonts w:hint="eastAsia" w:ascii="Times New Roman" w:hAnsi="Times New Roman" w:cs="Times New Roman" w:eastAsiaTheme="minorEastAsia"/>
          <w:sz w:val="24"/>
          <w:szCs w:val="32"/>
          <w:lang w:val="en-US" w:eastAsia="zh-CN"/>
        </w:rPr>
        <w:t xml:space="preserve"> Comparison of the nutritional status </w:t>
      </w:r>
      <w:r>
        <w:rPr>
          <w:rFonts w:hint="default" w:ascii="Times New Roman" w:hAnsi="Times New Roman" w:cs="Times New Roman"/>
          <w:sz w:val="24"/>
          <w:szCs w:val="32"/>
        </w:rPr>
        <w:t>two groups of patients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 xml:space="preserve">before and after intervention </w:t>
      </w:r>
    </w:p>
    <w:tbl>
      <w:tblPr>
        <w:tblStyle w:val="3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1168"/>
        <w:gridCol w:w="1256"/>
        <w:gridCol w:w="1588"/>
        <w:gridCol w:w="1481"/>
        <w:gridCol w:w="1588"/>
        <w:gridCol w:w="1697"/>
      </w:tblGrid>
      <w:tr w14:paraId="7E65A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70" w:type="pct"/>
            <w:vMerge w:val="restart"/>
            <w:tcBorders>
              <w:top w:val="single" w:color="auto" w:sz="12" w:space="0"/>
              <w:left w:val="nil"/>
              <w:right w:val="nil"/>
            </w:tcBorders>
            <w:shd w:val="clear" w:color="auto" w:fill="auto"/>
            <w:vAlign w:val="center"/>
          </w:tcPr>
          <w:p w14:paraId="6A9D4B6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Groups</w:t>
            </w:r>
          </w:p>
        </w:tc>
        <w:tc>
          <w:tcPr>
            <w:tcW w:w="1493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 w14:paraId="345790E0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PAB (g/L)</w:t>
            </w:r>
          </w:p>
        </w:tc>
        <w:tc>
          <w:tcPr>
            <w:tcW w:w="1346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16AC0AB7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ALB (g/L)</w:t>
            </w:r>
          </w:p>
        </w:tc>
        <w:tc>
          <w:tcPr>
            <w:tcW w:w="1389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3233DA28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HGB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(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g/L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)</w:t>
            </w:r>
          </w:p>
        </w:tc>
      </w:tr>
      <w:tr w14:paraId="119CA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70" w:type="pct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3F155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42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BE7B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Before intervention</w:t>
            </w:r>
          </w:p>
        </w:tc>
        <w:tc>
          <w:tcPr>
            <w:tcW w:w="751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90559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After intervention</w:t>
            </w:r>
          </w:p>
        </w:tc>
        <w:tc>
          <w:tcPr>
            <w:tcW w:w="668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E08F7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Before intervention</w:t>
            </w:r>
          </w:p>
        </w:tc>
        <w:tc>
          <w:tcPr>
            <w:tcW w:w="677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13950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After intervention</w:t>
            </w:r>
          </w:p>
        </w:tc>
        <w:tc>
          <w:tcPr>
            <w:tcW w:w="656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828F2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Before intervention</w:t>
            </w:r>
          </w:p>
        </w:tc>
        <w:tc>
          <w:tcPr>
            <w:tcW w:w="732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12CC0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After intervention</w:t>
            </w:r>
          </w:p>
        </w:tc>
      </w:tr>
      <w:tr w14:paraId="213D8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70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41DA7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Control group</w:t>
            </w:r>
          </w:p>
          <w:p w14:paraId="103D664B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(n = 35)</w:t>
            </w:r>
          </w:p>
        </w:tc>
        <w:tc>
          <w:tcPr>
            <w:tcW w:w="742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643B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171.3 (164.3,180.8)</w:t>
            </w:r>
          </w:p>
        </w:tc>
        <w:tc>
          <w:tcPr>
            <w:tcW w:w="751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68134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183.4</w:t>
            </w:r>
          </w:p>
          <w:p w14:paraId="1773305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(176.2,193.2)*</w:t>
            </w:r>
          </w:p>
        </w:tc>
        <w:tc>
          <w:tcPr>
            <w:tcW w:w="668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2D060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32.6</w:t>
            </w:r>
          </w:p>
          <w:p w14:paraId="647069D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(30.8,35.0)</w:t>
            </w:r>
          </w:p>
        </w:tc>
        <w:tc>
          <w:tcPr>
            <w:tcW w:w="677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A831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35.8 (34.1,38.0)*</w:t>
            </w:r>
          </w:p>
        </w:tc>
        <w:tc>
          <w:tcPr>
            <w:tcW w:w="656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D472B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91.7 </w:t>
            </w:r>
          </w:p>
          <w:p w14:paraId="6B01D4F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(88.4，96.3)</w:t>
            </w:r>
          </w:p>
        </w:tc>
        <w:tc>
          <w:tcPr>
            <w:tcW w:w="732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D692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97.7 (93.8,102.9)*</w:t>
            </w:r>
          </w:p>
        </w:tc>
      </w:tr>
      <w:tr w14:paraId="495AF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AD803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Observation group </w:t>
            </w:r>
          </w:p>
          <w:p w14:paraId="2E4A5E48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(n = 20)</w:t>
            </w: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ECBF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171.5 (168.0,178.9)</w:t>
            </w:r>
          </w:p>
        </w:tc>
        <w:tc>
          <w:tcPr>
            <w:tcW w:w="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FE0079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203.9</w:t>
            </w:r>
          </w:p>
          <w:p w14:paraId="32AD785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(198.3,215.4)*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1DB06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31.5</w:t>
            </w:r>
          </w:p>
          <w:p w14:paraId="19532C8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(30.7,33.1)</w:t>
            </w: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6F90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39.0 (38.0,41.2)*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7EF80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92.6 </w:t>
            </w:r>
          </w:p>
          <w:p w14:paraId="74A6BC7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(90.9,95.9)</w:t>
            </w:r>
          </w:p>
        </w:tc>
        <w:tc>
          <w:tcPr>
            <w:tcW w:w="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C16B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104.8 (102.9,108.7)*</w:t>
            </w:r>
          </w:p>
        </w:tc>
      </w:tr>
      <w:tr w14:paraId="1D4EF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70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4EA0F76C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742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372679F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0.969</w:t>
            </w:r>
          </w:p>
        </w:tc>
        <w:tc>
          <w:tcPr>
            <w:tcW w:w="751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642C42FA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&lt; 0.001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41ED525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0.242</w:t>
            </w:r>
          </w:p>
        </w:tc>
        <w:tc>
          <w:tcPr>
            <w:tcW w:w="677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638395AE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&lt; 0.001</w:t>
            </w:r>
          </w:p>
        </w:tc>
        <w:tc>
          <w:tcPr>
            <w:tcW w:w="656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2A537FC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0.570</w:t>
            </w:r>
          </w:p>
        </w:tc>
        <w:tc>
          <w:tcPr>
            <w:tcW w:w="732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4D3A77D7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&lt; 0.001</w:t>
            </w:r>
          </w:p>
        </w:tc>
      </w:tr>
    </w:tbl>
    <w:p w14:paraId="05BE3074">
      <w:pPr>
        <w:rPr>
          <w:rFonts w:hint="eastAsia" w:ascii="Times New Roman" w:hAnsi="Times New Roman" w:cs="Times New Roman" w:eastAsiaTheme="minorEastAsia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Note: </w:t>
      </w:r>
      <w:r>
        <w:rPr>
          <w:rFonts w:hint="default" w:ascii="Times New Roman" w:hAnsi="Times New Roman" w:cs="Times New Roman"/>
          <w:sz w:val="24"/>
          <w:szCs w:val="32"/>
        </w:rPr>
        <w:t>*</w:t>
      </w:r>
      <w:r>
        <w:rPr>
          <w:rFonts w:hint="eastAsia" w:ascii="Times New Roman" w:hAnsi="Times New Roman" w:cs="Times New Roman"/>
          <w:i/>
          <w:iCs/>
          <w:sz w:val="24"/>
          <w:szCs w:val="32"/>
          <w:lang w:val="en-US" w:eastAsia="zh-CN"/>
        </w:rPr>
        <w:t xml:space="preserve">P </w:t>
      </w:r>
      <w:r>
        <w:rPr>
          <w:rFonts w:hint="default" w:ascii="Times New Roman" w:hAnsi="Times New Roman" w:cs="Times New Roman"/>
          <w:sz w:val="24"/>
          <w:szCs w:val="32"/>
        </w:rPr>
        <w:t>&lt;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 xml:space="preserve">0.05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vs</w:t>
      </w:r>
      <w:r>
        <w:rPr>
          <w:rFonts w:hint="default" w:ascii="Times New Roman" w:hAnsi="Times New Roman" w:cs="Times New Roman"/>
          <w:sz w:val="24"/>
          <w:szCs w:val="32"/>
        </w:rPr>
        <w:t xml:space="preserve"> the same group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before intervention.</w:t>
      </w:r>
      <w:r>
        <w:rPr>
          <w:rFonts w:hint="eastAsia" w:ascii="Times New Roman" w:hAnsi="Times New Roman" w:cs="Times New Roman" w:eastAsiaTheme="minorEastAsia"/>
          <w:sz w:val="24"/>
          <w:szCs w:val="32"/>
          <w:lang w:val="en-US" w:eastAsia="zh-CN"/>
        </w:rPr>
        <w:br w:type="page"/>
      </w:r>
    </w:p>
    <w:p w14:paraId="222F0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Times New Roman" w:hAnsi="Times New Roman" w:cs="Times New Roman" w:eastAsiaTheme="minorEastAsia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sz w:val="24"/>
          <w:szCs w:val="32"/>
          <w:lang w:val="en-US" w:eastAsia="zh-CN"/>
        </w:rPr>
        <w:t xml:space="preserve">Table 4 </w:t>
      </w:r>
      <w:r>
        <w:rPr>
          <w:rFonts w:hint="eastAsia" w:ascii="Times New Roman" w:hAnsi="Times New Roman" w:cs="Times New Roman" w:eastAsiaTheme="minorEastAsia"/>
          <w:sz w:val="24"/>
          <w:szCs w:val="32"/>
          <w:lang w:val="en-US" w:eastAsia="zh-CN"/>
        </w:rPr>
        <w:t>Improvement of inflammatory indicators before and after intervention in both groups of patients</w:t>
      </w:r>
    </w:p>
    <w:tbl>
      <w:tblPr>
        <w:tblStyle w:val="3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8"/>
        <w:gridCol w:w="1842"/>
        <w:gridCol w:w="1868"/>
        <w:gridCol w:w="2089"/>
        <w:gridCol w:w="1943"/>
      </w:tblGrid>
      <w:tr w14:paraId="4B67F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02" w:type="pct"/>
            <w:vMerge w:val="restart"/>
            <w:tcBorders>
              <w:top w:val="single" w:color="auto" w:sz="12" w:space="0"/>
              <w:left w:val="nil"/>
              <w:right w:val="nil"/>
            </w:tcBorders>
            <w:shd w:val="clear" w:color="auto" w:fill="auto"/>
            <w:vAlign w:val="center"/>
          </w:tcPr>
          <w:p w14:paraId="31D0D18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Groups</w:t>
            </w:r>
          </w:p>
        </w:tc>
        <w:tc>
          <w:tcPr>
            <w:tcW w:w="1947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 w14:paraId="2FA538F7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CRP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(mg/L)</w:t>
            </w:r>
          </w:p>
        </w:tc>
        <w:tc>
          <w:tcPr>
            <w:tcW w:w="1949" w:type="pct"/>
            <w:gridSpan w:val="2"/>
            <w:tcBorders>
              <w:top w:val="single" w:color="auto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 w14:paraId="7E0F082A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PCT (ng/L)</w:t>
            </w:r>
          </w:p>
        </w:tc>
      </w:tr>
      <w:tr w14:paraId="25FA1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02" w:type="pct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71890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67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4A6A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Before intervention</w:t>
            </w:r>
          </w:p>
        </w:tc>
        <w:tc>
          <w:tcPr>
            <w:tcW w:w="980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C1CB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After intervention</w:t>
            </w:r>
          </w:p>
        </w:tc>
        <w:tc>
          <w:tcPr>
            <w:tcW w:w="973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ACF48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Before intervention</w:t>
            </w:r>
          </w:p>
        </w:tc>
        <w:tc>
          <w:tcPr>
            <w:tcW w:w="976" w:type="pct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C447D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After intervention</w:t>
            </w:r>
          </w:p>
        </w:tc>
      </w:tr>
      <w:tr w14:paraId="3EDCBA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02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CF753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Control group</w:t>
            </w:r>
          </w:p>
          <w:p w14:paraId="6871342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(n = 35)</w:t>
            </w:r>
          </w:p>
        </w:tc>
        <w:tc>
          <w:tcPr>
            <w:tcW w:w="967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CBDC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101.0 (93.8,110.7)</w:t>
            </w:r>
          </w:p>
        </w:tc>
        <w:tc>
          <w:tcPr>
            <w:tcW w:w="980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AEFF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85.3 (81.0，91.05)*</w:t>
            </w:r>
          </w:p>
        </w:tc>
        <w:tc>
          <w:tcPr>
            <w:tcW w:w="973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28C2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4.8 (4.3,5.6)</w:t>
            </w:r>
          </w:p>
        </w:tc>
        <w:tc>
          <w:tcPr>
            <w:tcW w:w="976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F329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3.3 (3.0,3.9)*</w:t>
            </w:r>
          </w:p>
        </w:tc>
      </w:tr>
      <w:tr w14:paraId="6AEB22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2C815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Observation group</w:t>
            </w:r>
          </w:p>
          <w:p w14:paraId="3D32455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(n = 20)</w:t>
            </w:r>
          </w:p>
        </w:tc>
        <w:tc>
          <w:tcPr>
            <w:tcW w:w="9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D344A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102.4 (98.8,109.8)</w:t>
            </w:r>
          </w:p>
        </w:tc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7D37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72.4 (70.7,76.1)*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2AD1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4.7 (4.5,5.2)</w:t>
            </w: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8EA3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2.5 (2.3,2.7)*</w:t>
            </w:r>
          </w:p>
        </w:tc>
      </w:tr>
      <w:tr w14:paraId="66EE0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02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0CA3944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sz w:val="24"/>
                <w:szCs w:val="24"/>
                <w:lang w:val="en-US" w:eastAsia="zh-CN"/>
              </w:rPr>
              <w:t>P</w:t>
            </w:r>
          </w:p>
        </w:tc>
        <w:tc>
          <w:tcPr>
            <w:tcW w:w="967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0E664AE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0.661</w:t>
            </w:r>
          </w:p>
        </w:tc>
        <w:tc>
          <w:tcPr>
            <w:tcW w:w="980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726F767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&lt; 0.001</w:t>
            </w:r>
          </w:p>
        </w:tc>
        <w:tc>
          <w:tcPr>
            <w:tcW w:w="973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485F8C1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0.512</w:t>
            </w:r>
          </w:p>
        </w:tc>
        <w:tc>
          <w:tcPr>
            <w:tcW w:w="976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51350C7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&lt; 0.001</w:t>
            </w:r>
          </w:p>
        </w:tc>
      </w:tr>
    </w:tbl>
    <w:p w14:paraId="1636DB8F">
      <w:pPr>
        <w:spacing w:line="240" w:lineRule="auto"/>
        <w:rPr>
          <w:rFonts w:hint="eastAsia" w:ascii="Times New Roman" w:hAnsi="Times New Roman" w:cs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Note: </w:t>
      </w:r>
      <w:r>
        <w:rPr>
          <w:rFonts w:hint="default" w:ascii="Times New Roman" w:hAnsi="Times New Roman" w:cs="Times New Roman"/>
          <w:sz w:val="24"/>
          <w:szCs w:val="32"/>
        </w:rPr>
        <w:t>*</w:t>
      </w:r>
      <w:r>
        <w:rPr>
          <w:rFonts w:hint="eastAsia" w:ascii="Times New Roman" w:hAnsi="Times New Roman" w:cs="Times New Roman"/>
          <w:i/>
          <w:iCs/>
          <w:sz w:val="24"/>
          <w:szCs w:val="32"/>
          <w:lang w:val="en-US" w:eastAsia="zh-CN"/>
        </w:rPr>
        <w:t xml:space="preserve">P </w:t>
      </w:r>
      <w:r>
        <w:rPr>
          <w:rFonts w:hint="default" w:ascii="Times New Roman" w:hAnsi="Times New Roman" w:cs="Times New Roman"/>
          <w:sz w:val="24"/>
          <w:szCs w:val="32"/>
        </w:rPr>
        <w:t>&lt;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32"/>
        </w:rPr>
        <w:t xml:space="preserve">0.05 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vs</w:t>
      </w:r>
      <w:r>
        <w:rPr>
          <w:rFonts w:hint="default" w:ascii="Times New Roman" w:hAnsi="Times New Roman" w:cs="Times New Roman"/>
          <w:sz w:val="24"/>
          <w:szCs w:val="32"/>
        </w:rPr>
        <w:t xml:space="preserve"> the same group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before intervention.</w:t>
      </w:r>
      <w:r>
        <w:rPr>
          <w:rFonts w:hint="eastAsia" w:ascii="Times New Roman" w:hAnsi="Times New Roman" w:cs="Times New Roman" w:eastAsiaTheme="minorEastAsia"/>
          <w:sz w:val="24"/>
          <w:szCs w:val="32"/>
          <w:lang w:val="en-US" w:eastAsia="zh-CN"/>
        </w:rPr>
        <w:br w:type="page"/>
      </w:r>
      <w:r>
        <w:rPr>
          <w:rFonts w:hint="eastAsia" w:ascii="Times New Roman" w:hAnsi="Times New Roman" w:cs="Times New Roman"/>
          <w:b/>
          <w:bCs/>
          <w:sz w:val="24"/>
          <w:szCs w:val="32"/>
          <w:lang w:val="en-US" w:eastAsia="zh-CN"/>
        </w:rPr>
        <w:t>Table 5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 xml:space="preserve"> Comparison of the incidence of adverse reactions between the two groups of patients</w:t>
      </w:r>
    </w:p>
    <w:tbl>
      <w:tblPr>
        <w:tblStyle w:val="3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010"/>
        <w:gridCol w:w="975"/>
        <w:gridCol w:w="2286"/>
        <w:gridCol w:w="806"/>
        <w:gridCol w:w="1672"/>
        <w:gridCol w:w="1279"/>
        <w:gridCol w:w="833"/>
      </w:tblGrid>
      <w:tr w14:paraId="5CF3E8C4">
        <w:trPr>
          <w:trHeight w:val="560" w:hRule="atLeast"/>
          <w:jc w:val="center"/>
        </w:trPr>
        <w:tc>
          <w:tcPr>
            <w:tcW w:w="705" w:type="pct"/>
            <w:tcBorders>
              <w:top w:val="single" w:color="auto" w:sz="12" w:space="0"/>
              <w:left w:val="nil"/>
              <w:right w:val="nil"/>
            </w:tcBorders>
            <w:shd w:val="clear" w:color="auto" w:fill="auto"/>
            <w:vAlign w:val="center"/>
          </w:tcPr>
          <w:p w14:paraId="4BF2022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bookmarkStart w:id="2" w:name="_GoBack" w:colFirst="0" w:colLast="7"/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Groups</w:t>
            </w:r>
          </w:p>
        </w:tc>
        <w:tc>
          <w:tcPr>
            <w:tcW w:w="614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B42B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Restlessness</w:t>
            </w:r>
          </w:p>
        </w:tc>
        <w:tc>
          <w:tcPr>
            <w:tcW w:w="582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34AB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Breathing convulsions </w:t>
            </w:r>
          </w:p>
        </w:tc>
        <w:tc>
          <w:tcPr>
            <w:tcW w:w="972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3D38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Ventilator-associated lung injury</w:t>
            </w:r>
          </w:p>
        </w:tc>
        <w:tc>
          <w:tcPr>
            <w:tcW w:w="478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94199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Vomiting</w:t>
            </w:r>
          </w:p>
        </w:tc>
        <w:tc>
          <w:tcPr>
            <w:tcW w:w="618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164B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Bloating and diarrhoea</w:t>
            </w:r>
          </w:p>
        </w:tc>
        <w:tc>
          <w:tcPr>
            <w:tcW w:w="519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C2F7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Gastric retention</w:t>
            </w:r>
          </w:p>
        </w:tc>
        <w:tc>
          <w:tcPr>
            <w:tcW w:w="508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E8D5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Incidence</w:t>
            </w:r>
          </w:p>
        </w:tc>
      </w:tr>
      <w:tr w14:paraId="6F0DA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E3FEF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Control group (n = 35)</w:t>
            </w:r>
          </w:p>
        </w:tc>
        <w:tc>
          <w:tcPr>
            <w:tcW w:w="614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B6B47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 (8.57%)</w:t>
            </w:r>
          </w:p>
        </w:tc>
        <w:tc>
          <w:tcPr>
            <w:tcW w:w="582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8F9A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 (5.71%)</w:t>
            </w:r>
          </w:p>
        </w:tc>
        <w:tc>
          <w:tcPr>
            <w:tcW w:w="972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DC5B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 (2.86%)</w:t>
            </w:r>
          </w:p>
        </w:tc>
        <w:tc>
          <w:tcPr>
            <w:tcW w:w="478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E8359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</w:t>
            </w:r>
          </w:p>
          <w:p w14:paraId="1B98398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(11.43%)</w:t>
            </w:r>
          </w:p>
        </w:tc>
        <w:tc>
          <w:tcPr>
            <w:tcW w:w="618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33DD6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</w:p>
          <w:p w14:paraId="56851F8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(8.57%)</w:t>
            </w:r>
          </w:p>
        </w:tc>
        <w:tc>
          <w:tcPr>
            <w:tcW w:w="519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78EE7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  <w:p w14:paraId="1DF4943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(5.71%)</w:t>
            </w:r>
          </w:p>
        </w:tc>
        <w:tc>
          <w:tcPr>
            <w:tcW w:w="508" w:type="pct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5B4B5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15</w:t>
            </w:r>
          </w:p>
          <w:p w14:paraId="5A1DB63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(42.86%)</w:t>
            </w:r>
          </w:p>
        </w:tc>
      </w:tr>
      <w:tr w14:paraId="687F7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B6A0E6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Observation group </w:t>
            </w:r>
          </w:p>
          <w:p w14:paraId="20E0F9BB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(n = 20)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46C3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 (5.00%)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1F4C8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0 (0.00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%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9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AE06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0 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(0.00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%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CD889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</w:p>
          <w:p w14:paraId="29765A6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(5.00%)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055EB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</w:p>
          <w:p w14:paraId="7B1B3B8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(5.00%)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023F3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0</w:t>
            </w:r>
          </w:p>
          <w:p w14:paraId="49E64FF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(0.00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%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)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20A9D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</w:p>
          <w:p w14:paraId="50AFB7D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(15.00%)</w:t>
            </w:r>
          </w:p>
        </w:tc>
      </w:tr>
      <w:tr w14:paraId="7BE42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315A2690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/>
                <w:iCs/>
                <w:sz w:val="24"/>
                <w:szCs w:val="24"/>
                <w:lang w:val="en-US" w:eastAsia="zh-CN"/>
              </w:rPr>
              <w:t>P</w:t>
            </w:r>
          </w:p>
        </w:tc>
        <w:tc>
          <w:tcPr>
            <w:tcW w:w="614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6DB2E78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 w14:paraId="357A416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72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16101AE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4B0258C8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08C822CB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20BE0118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noWrap/>
            <w:vAlign w:val="center"/>
          </w:tcPr>
          <w:p w14:paraId="46E7D92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  <w:t>0.041</w:t>
            </w:r>
          </w:p>
        </w:tc>
      </w:tr>
      <w:bookmarkEnd w:id="2"/>
    </w:tbl>
    <w:p w14:paraId="4BE2F741">
      <w:pPr>
        <w:rPr>
          <w:rFonts w:hint="default" w:ascii="Times New Roman" w:hAnsi="Times New Roman" w:cs="Times New Roman"/>
          <w:sz w:val="24"/>
          <w:szCs w:val="32"/>
          <w:lang w:val="en-US" w:eastAsia="zh-CN"/>
        </w:rPr>
      </w:pPr>
    </w:p>
    <w:sectPr>
      <w:pgSz w:w="11906" w:h="16838"/>
      <w:pgMar w:top="1134" w:right="1134" w:bottom="1134" w:left="1134" w:header="851" w:footer="85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yMjQ2MWFhMTVlMDk4NjJmMzcwNTcxM2QzZWViNjYifQ=="/>
  </w:docVars>
  <w:rsids>
    <w:rsidRoot w:val="00000000"/>
    <w:rsid w:val="02242A55"/>
    <w:rsid w:val="465F5FAB"/>
    <w:rsid w:val="4C90603D"/>
    <w:rsid w:val="612C0D28"/>
    <w:rsid w:val="6C3368A0"/>
    <w:rsid w:val="71D0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  <w:rPr>
      <w:rFonts w:ascii="等线" w:hAnsi="等线" w:eastAsia="等线" w:cs="Times New Roma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428</Words>
  <Characters>2456</Characters>
  <Lines>0</Lines>
  <Paragraphs>0</Paragraphs>
  <TotalTime>0</TotalTime>
  <ScaleCrop>false</ScaleCrop>
  <LinksUpToDate>false</LinksUpToDate>
  <CharactersWithSpaces>2704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2024-11-19T11:59:00Z</dcterms:created>
  <dc:creator>28106</dc:creator>
  <cp:lastModifiedBy>Administrator</cp:lastModifiedBy>
  <dcterms:modified xsi:type="dcterms:W3CDTF">2024-11-22T02:16:06Z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7A8234D64C4F4B9A90ABDFE2F70C6F3E_12</vt:lpwstr>
  </property>
</Properties>
</file>