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588D">
      <w:pPr>
        <w:adjustRightInd w:val="0"/>
        <w:snapToGrid w:val="0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 xml:space="preserve"> Comparison of general information between two groups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947"/>
        <w:gridCol w:w="2947"/>
        <w:gridCol w:w="1368"/>
      </w:tblGrid>
      <w:tr w14:paraId="050F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3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 w14:paraId="00777A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Variables</w:t>
            </w:r>
          </w:p>
        </w:tc>
        <w:tc>
          <w:tcPr>
            <w:tcW w:w="149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42B4FF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49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1E75E0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694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 w14:paraId="2A0E01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2A19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65FEA3AF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Age (years)</w:t>
            </w:r>
          </w:p>
        </w:tc>
        <w:tc>
          <w:tcPr>
            <w:tcW w:w="1495" w:type="pc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2905EC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4C1C37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63ADE6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0.542</w:t>
            </w:r>
          </w:p>
        </w:tc>
      </w:tr>
      <w:tr w14:paraId="29EC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414656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20~25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65209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 (9.33%)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141BD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 (14.67%)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63223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2A35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2FFDC6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26~30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7389A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42 (56.00%)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7D9B58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37 (49.33%)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BC91D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0BCF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0A2CB4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31~35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43628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 (34.67%)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1CE667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 (36.00%)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DB77B9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179B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79032B5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ody mass index (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kg/m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FE455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118B2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40A93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0.250</w:t>
            </w:r>
          </w:p>
        </w:tc>
      </w:tr>
      <w:tr w14:paraId="7AF2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1DA26E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&lt;18.50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678CF6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 (2.67%)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0EE27D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 (8.00%)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E80D1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587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5D5682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18.50~24.00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53C542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42 (56.00%)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E4528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 (46.67%)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562D3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518A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27FA80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&gt;24.00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1877B0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 (41.33%)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74D837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34 (45.33%)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3EF86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BA0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6AECB2F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Gravidity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(times)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7C35E1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1F9B6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4642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0.623</w:t>
            </w:r>
          </w:p>
        </w:tc>
      </w:tr>
      <w:tr w14:paraId="2B71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4297D5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230EC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 (57.33%)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5AE14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 (53.33%)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19A673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2511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6BDC3C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75AB3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 (34.67%)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F6AC9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 (41.33%)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33742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1A13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5B908C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0471D9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 (8.00%)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7FBCD7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 (5.33%)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E06F9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3C79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0900D99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Parity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5EA6C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544EC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EA577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0.739</w:t>
            </w:r>
          </w:p>
        </w:tc>
      </w:tr>
      <w:tr w14:paraId="779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58FC2A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Primiparous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0443D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46 (61.33%)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2679D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44 (58.67%)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10590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11E5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5CB1E2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Multiparous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74DBB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29 (38.67%)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29B83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 (41.33%)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57251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37D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4ADA8AAE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Gestational week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(week)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456A6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6430E1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0BA72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0.972</w:t>
            </w:r>
          </w:p>
        </w:tc>
      </w:tr>
      <w:tr w14:paraId="282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0C35E0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461391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 (40.00%)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7856DE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33 (44.00%)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1E1E3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97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023761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08C06C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 (22.67%)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23BCAB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 (24.00%)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B56E9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BA5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25791B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3F23CC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 (20.00%)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050B0E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 (17.33%)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116274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5E2D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</w:tcPr>
          <w:p w14:paraId="486D47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1BB2F3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 (12.00%)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</w:tcPr>
          <w:p w14:paraId="196AB0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 (10.67%)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8D459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3E12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1EFB2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60444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 (5.33%)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D5135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10C10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</w:tbl>
    <w:p w14:paraId="71C5940E">
      <w:pPr>
        <w:adjustRightInd w:val="0"/>
        <w:snapToGrid w:val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797ADA29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Comparison of two groups of blood glucose metabolism indicators</w:t>
      </w:r>
    </w:p>
    <w:tbl>
      <w:tblPr>
        <w:tblStyle w:val="7"/>
        <w:tblW w:w="4998" w:type="pct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17"/>
        <w:gridCol w:w="2610"/>
        <w:gridCol w:w="2610"/>
        <w:gridCol w:w="1412"/>
      </w:tblGrid>
      <w:tr w14:paraId="282E2C1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14F6B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Indicator</w:t>
            </w:r>
          </w:p>
        </w:tc>
        <w:tc>
          <w:tcPr>
            <w:tcW w:w="668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28CFB2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Time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63560C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3C93FA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716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75834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796972B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op w:val="single" w:color="auto" w:sz="12" w:space="0"/>
            </w:tcBorders>
            <w:vAlign w:val="center"/>
          </w:tcPr>
          <w:p w14:paraId="02B381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FINS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(mU/L)</w:t>
            </w:r>
          </w:p>
        </w:tc>
        <w:tc>
          <w:tcPr>
            <w:tcW w:w="668" w:type="pct"/>
            <w:tcBorders>
              <w:top w:val="single" w:color="auto" w:sz="12" w:space="0"/>
            </w:tcBorders>
            <w:vAlign w:val="center"/>
          </w:tcPr>
          <w:p w14:paraId="43A930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5D614B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22.42 ± 5.84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79FD34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23.03 ± 5.65</w:t>
            </w:r>
          </w:p>
        </w:tc>
        <w:tc>
          <w:tcPr>
            <w:tcW w:w="716" w:type="pct"/>
            <w:tcBorders>
              <w:top w:val="single" w:color="auto" w:sz="12" w:space="0"/>
            </w:tcBorders>
            <w:vAlign w:val="center"/>
          </w:tcPr>
          <w:p w14:paraId="475954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0.517</w:t>
            </w:r>
          </w:p>
        </w:tc>
      </w:tr>
      <w:tr w14:paraId="324AD25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vAlign w:val="center"/>
          </w:tcPr>
          <w:p w14:paraId="687AEAE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AA3E0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vAlign w:val="center"/>
          </w:tcPr>
          <w:p w14:paraId="7CFD00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17.19 ± 3.22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vAlign w:val="center"/>
          </w:tcPr>
          <w:p w14:paraId="49B183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18.66 ± 4.02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vAlign w:val="center"/>
          </w:tcPr>
          <w:p w14:paraId="793805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14:paraId="240C54F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4E37B0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FPG (mmol/L)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77AF8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34AD24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7.68 (6.34, 9.11)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7DF2C8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7.54 (6.23, 8.93)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6799E6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0.566</w:t>
            </w:r>
          </w:p>
        </w:tc>
      </w:tr>
      <w:tr w14:paraId="37B9071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225AC6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B2B7D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271FAC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5.14 (4.31, 6.10)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3A27A7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5.65 (4.71, 6.97)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735674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0.007</w:t>
            </w:r>
          </w:p>
        </w:tc>
      </w:tr>
      <w:tr w14:paraId="4612318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32300E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2hPG (mmol/L)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6EF13D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67ED96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11.67 (10.03, 13.42)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D7FD9C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11.74 (10.06, 13.52)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587D8B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0.752</w:t>
            </w:r>
          </w:p>
        </w:tc>
      </w:tr>
      <w:tr w14:paraId="70CD1DE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5EDFF3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64379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07FBAF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6.21 (5.17, 7.32)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08D400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7.32 (6.18, 8.53)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347321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60428B9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vAlign w:val="center"/>
          </w:tcPr>
          <w:p w14:paraId="560ABE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HbA1c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668" w:type="pct"/>
            <w:vAlign w:val="center"/>
          </w:tcPr>
          <w:p w14:paraId="0C6BFF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vAlign w:val="center"/>
          </w:tcPr>
          <w:p w14:paraId="4CAF4C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6.55 ± 0.74</w:t>
            </w:r>
          </w:p>
        </w:tc>
        <w:tc>
          <w:tcPr>
            <w:tcW w:w="1324" w:type="pct"/>
            <w:vAlign w:val="center"/>
          </w:tcPr>
          <w:p w14:paraId="41194A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6.51 ± 0.77</w:t>
            </w:r>
          </w:p>
        </w:tc>
        <w:tc>
          <w:tcPr>
            <w:tcW w:w="716" w:type="pct"/>
            <w:vAlign w:val="center"/>
          </w:tcPr>
          <w:p w14:paraId="6BEF7C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14:paraId="2BBBAE7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bottom w:val="single" w:color="auto" w:sz="12" w:space="0"/>
            </w:tcBorders>
            <w:vAlign w:val="center"/>
          </w:tcPr>
          <w:p w14:paraId="4153D9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bottom w:val="single" w:color="auto" w:sz="12" w:space="0"/>
            </w:tcBorders>
            <w:vAlign w:val="center"/>
          </w:tcPr>
          <w:p w14:paraId="3C865E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1D0709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5.16 ± 0.54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343589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5.52 ± 0.63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bottom w:val="single" w:color="auto" w:sz="12" w:space="0"/>
            </w:tcBorders>
            <w:vAlign w:val="center"/>
          </w:tcPr>
          <w:p w14:paraId="46F6CC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</w:tbl>
    <w:p w14:paraId="73A49B21">
      <w:pPr>
        <w:adjustRightInd w:val="0"/>
        <w:snapToGrid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vs. </w:t>
      </w:r>
      <w:r>
        <w:rPr>
          <w:rFonts w:hint="eastAsia" w:ascii="Times New Roman" w:hAnsi="Times New Roman" w:cs="Times New Roman"/>
          <w:sz w:val="24"/>
          <w:szCs w:val="24"/>
        </w:rPr>
        <w:t>Before treatment.</w:t>
      </w:r>
    </w:p>
    <w:p w14:paraId="1E8082D1">
      <w:pPr>
        <w:adjustRightInd w:val="0"/>
        <w:snapToGrid w:val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1185AE89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Comparison of two groups of lipid metabolism indicators</w:t>
      </w:r>
    </w:p>
    <w:tbl>
      <w:tblPr>
        <w:tblStyle w:val="7"/>
        <w:tblW w:w="4998" w:type="pct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17"/>
        <w:gridCol w:w="2610"/>
        <w:gridCol w:w="2610"/>
        <w:gridCol w:w="1412"/>
      </w:tblGrid>
      <w:tr w14:paraId="22FF493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45E6C0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Indicator</w:t>
            </w:r>
          </w:p>
        </w:tc>
        <w:tc>
          <w:tcPr>
            <w:tcW w:w="131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509B42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Time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277C80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477F41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716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560494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597B998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op w:val="single" w:color="auto" w:sz="12" w:space="0"/>
            </w:tcBorders>
            <w:vAlign w:val="center"/>
          </w:tcPr>
          <w:p w14:paraId="1D1CFA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HDL-C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(mmol/L)</w:t>
            </w:r>
          </w:p>
        </w:tc>
        <w:tc>
          <w:tcPr>
            <w:tcW w:w="668" w:type="pct"/>
            <w:tcBorders>
              <w:top w:val="single" w:color="auto" w:sz="12" w:space="0"/>
            </w:tcBorders>
            <w:vAlign w:val="center"/>
          </w:tcPr>
          <w:p w14:paraId="35D0EB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0B1C85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2.37 ± 0.58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5353BD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2.30 ± 0.62</w:t>
            </w:r>
          </w:p>
        </w:tc>
        <w:tc>
          <w:tcPr>
            <w:tcW w:w="716" w:type="pct"/>
            <w:tcBorders>
              <w:top w:val="single" w:color="auto" w:sz="12" w:space="0"/>
            </w:tcBorders>
            <w:vAlign w:val="center"/>
          </w:tcPr>
          <w:p w14:paraId="0AE5DA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0.477</w:t>
            </w:r>
          </w:p>
        </w:tc>
      </w:tr>
      <w:tr w14:paraId="18871A5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vAlign w:val="center"/>
          </w:tcPr>
          <w:p w14:paraId="2366CA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50A83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vAlign w:val="center"/>
          </w:tcPr>
          <w:p w14:paraId="5D1DFC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4.49 ± 0.83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vAlign w:val="center"/>
          </w:tcPr>
          <w:p w14:paraId="204252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3.67 ± 0.68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vAlign w:val="center"/>
          </w:tcPr>
          <w:p w14:paraId="7FDE4B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7AA07E28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4313F3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LDL-C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(mmol/L)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DCF15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435FD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4.54 ± 1.10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2D04DE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4.36 ± 1.15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277C8A4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0.327</w:t>
            </w:r>
          </w:p>
        </w:tc>
      </w:tr>
      <w:tr w14:paraId="6C0ABB6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7F31FD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D9341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0DA88B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3.11 ± 0.89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AB92C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3.69 ± 0.93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41BCC5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340E434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39E1FA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TC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(mmol/L)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786B1C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3BCD4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5.37 ± 1.21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4E4BD0C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5.41 ± 1.18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281192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0.838</w:t>
            </w:r>
          </w:p>
        </w:tc>
      </w:tr>
      <w:tr w14:paraId="2CFBD4B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0213D8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236E4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643590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3.13 ± 1.01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7BAF45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3.87 ± 1.10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71BADE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21F6DA3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vAlign w:val="center"/>
          </w:tcPr>
          <w:p w14:paraId="631443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TG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(mmol/L)</w:t>
            </w:r>
          </w:p>
        </w:tc>
        <w:tc>
          <w:tcPr>
            <w:tcW w:w="668" w:type="pct"/>
            <w:vAlign w:val="center"/>
          </w:tcPr>
          <w:p w14:paraId="4DC281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vAlign w:val="center"/>
          </w:tcPr>
          <w:p w14:paraId="5944D9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5.01 ± 1.16</w:t>
            </w:r>
          </w:p>
        </w:tc>
        <w:tc>
          <w:tcPr>
            <w:tcW w:w="1324" w:type="pct"/>
            <w:vAlign w:val="center"/>
          </w:tcPr>
          <w:p w14:paraId="4E6996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5.12 ± 1.09</w:t>
            </w:r>
          </w:p>
        </w:tc>
        <w:tc>
          <w:tcPr>
            <w:tcW w:w="716" w:type="pct"/>
            <w:vAlign w:val="center"/>
          </w:tcPr>
          <w:p w14:paraId="077766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0.547</w:t>
            </w:r>
          </w:p>
        </w:tc>
      </w:tr>
      <w:tr w14:paraId="1DE4F13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bottom w:val="single" w:color="auto" w:sz="12" w:space="0"/>
            </w:tcBorders>
            <w:vAlign w:val="center"/>
          </w:tcPr>
          <w:p w14:paraId="75FC6C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bottom w:val="single" w:color="auto" w:sz="12" w:space="0"/>
            </w:tcBorders>
            <w:vAlign w:val="center"/>
          </w:tcPr>
          <w:p w14:paraId="698F96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4F0016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2.95 ± 0.92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0C16BCA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3.75 ± 1.10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bottom w:val="single" w:color="auto" w:sz="12" w:space="0"/>
            </w:tcBorders>
            <w:vAlign w:val="center"/>
          </w:tcPr>
          <w:p w14:paraId="1EC10C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</w:tbl>
    <w:p w14:paraId="72766B30">
      <w:pPr>
        <w:adjustRightInd w:val="0"/>
        <w:snapToGrid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vs. </w:t>
      </w:r>
      <w:r>
        <w:rPr>
          <w:rFonts w:hint="eastAsia" w:ascii="Times New Roman" w:hAnsi="Times New Roman" w:cs="Times New Roman"/>
          <w:sz w:val="24"/>
          <w:szCs w:val="24"/>
        </w:rPr>
        <w:t>Before treatment.</w:t>
      </w:r>
    </w:p>
    <w:p w14:paraId="38FBF6EC">
      <w:pPr>
        <w:adjustRightInd w:val="0"/>
        <w:snapToGrid w:val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69F039E7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Comparison of two groups of gut microbiota</w:t>
      </w:r>
    </w:p>
    <w:tbl>
      <w:tblPr>
        <w:tblStyle w:val="7"/>
        <w:tblW w:w="4998" w:type="pct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281"/>
        <w:gridCol w:w="2575"/>
        <w:gridCol w:w="2575"/>
        <w:gridCol w:w="1377"/>
      </w:tblGrid>
      <w:tr w14:paraId="18407385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16849E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Indicator</w:t>
            </w:r>
          </w:p>
        </w:tc>
        <w:tc>
          <w:tcPr>
            <w:tcW w:w="131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3F8331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Time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522658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32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6AEC9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716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3BFD7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4999309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op w:val="single" w:color="auto" w:sz="12" w:space="0"/>
            </w:tcBorders>
            <w:vAlign w:val="center"/>
          </w:tcPr>
          <w:p w14:paraId="6777A8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Bifidobacterium (lgN/g)</w:t>
            </w:r>
          </w:p>
        </w:tc>
        <w:tc>
          <w:tcPr>
            <w:tcW w:w="668" w:type="pct"/>
            <w:tcBorders>
              <w:top w:val="single" w:color="auto" w:sz="12" w:space="0"/>
            </w:tcBorders>
            <w:vAlign w:val="center"/>
          </w:tcPr>
          <w:p w14:paraId="5A05E7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21A2B1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7.83 ± 0.65</w:t>
            </w:r>
          </w:p>
        </w:tc>
        <w:tc>
          <w:tcPr>
            <w:tcW w:w="1324" w:type="pct"/>
            <w:tcBorders>
              <w:top w:val="single" w:color="auto" w:sz="12" w:space="0"/>
            </w:tcBorders>
            <w:vAlign w:val="center"/>
          </w:tcPr>
          <w:p w14:paraId="4535B9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7.79 ± 0.69</w:t>
            </w:r>
          </w:p>
        </w:tc>
        <w:tc>
          <w:tcPr>
            <w:tcW w:w="716" w:type="pct"/>
            <w:tcBorders>
              <w:top w:val="single" w:color="auto" w:sz="12" w:space="0"/>
            </w:tcBorders>
            <w:vAlign w:val="center"/>
          </w:tcPr>
          <w:p w14:paraId="71F2FA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0.718</w:t>
            </w:r>
          </w:p>
        </w:tc>
      </w:tr>
      <w:tr w14:paraId="561FD07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vAlign w:val="center"/>
          </w:tcPr>
          <w:p w14:paraId="40549A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1F1A3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vAlign w:val="center"/>
          </w:tcPr>
          <w:p w14:paraId="3C230E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9.54 ± 0.72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vAlign w:val="center"/>
          </w:tcPr>
          <w:p w14:paraId="3C5996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8.77 ± 0.75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vAlign w:val="center"/>
          </w:tcPr>
          <w:p w14:paraId="247898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7B3A111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231C82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Lactobacillus (lgN/g)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492F8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88802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7.28 ± 1.05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05B0D9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7.32 ± 1.01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6AA31A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0.814</w:t>
            </w:r>
          </w:p>
        </w:tc>
      </w:tr>
      <w:tr w14:paraId="516591D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3DCEC1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68A87E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3BC274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8.96 ± 1.22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368870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8.24 ± 1.17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372928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3D086D9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tcBorders>
              <w:tl2br w:val="nil"/>
              <w:tr2bl w:val="nil"/>
            </w:tcBorders>
            <w:vAlign w:val="center"/>
          </w:tcPr>
          <w:p w14:paraId="018052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Coccidioides (lgN/g)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0FE1BA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6B9A10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7.20 ± 0.54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718409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7.18 ± 0.51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132741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0.816</w:t>
            </w:r>
          </w:p>
        </w:tc>
      </w:tr>
      <w:tr w14:paraId="3556DA1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tl2br w:val="nil"/>
              <w:tr2bl w:val="nil"/>
            </w:tcBorders>
            <w:vAlign w:val="center"/>
          </w:tcPr>
          <w:p w14:paraId="2BE512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480703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69BC4B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6.44 ± 0.46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74EDD0B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6.91 ± 0.55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14:paraId="55DB92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16E17D0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vAlign w:val="center"/>
          </w:tcPr>
          <w:p w14:paraId="0C34C2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Enterobacteriaceae (lgN/g)</w:t>
            </w:r>
          </w:p>
        </w:tc>
        <w:tc>
          <w:tcPr>
            <w:tcW w:w="668" w:type="pct"/>
            <w:vAlign w:val="center"/>
          </w:tcPr>
          <w:p w14:paraId="3A4E74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vAlign w:val="center"/>
          </w:tcPr>
          <w:p w14:paraId="45CCC3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8.67 ± 0.84</w:t>
            </w:r>
          </w:p>
        </w:tc>
        <w:tc>
          <w:tcPr>
            <w:tcW w:w="1324" w:type="pct"/>
            <w:vAlign w:val="center"/>
          </w:tcPr>
          <w:p w14:paraId="65C317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8.70 ± 0.80</w:t>
            </w:r>
          </w:p>
        </w:tc>
        <w:tc>
          <w:tcPr>
            <w:tcW w:w="716" w:type="pct"/>
            <w:vAlign w:val="center"/>
          </w:tcPr>
          <w:p w14:paraId="23ED99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</w:p>
        </w:tc>
      </w:tr>
      <w:tr w14:paraId="34960DE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vAlign w:val="center"/>
          </w:tcPr>
          <w:p w14:paraId="73F4E7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165F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vAlign w:val="center"/>
          </w:tcPr>
          <w:p w14:paraId="4EBE81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7.01 ± 0.33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vAlign w:val="center"/>
          </w:tcPr>
          <w:p w14:paraId="27D780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7.79 ± 0.52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vAlign w:val="center"/>
          </w:tcPr>
          <w:p w14:paraId="3ECAC2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  <w:tr w14:paraId="470AC68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restart"/>
            <w:vAlign w:val="center"/>
          </w:tcPr>
          <w:p w14:paraId="3E9868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Saccharomycetes  (lgN/g)</w:t>
            </w:r>
          </w:p>
        </w:tc>
        <w:tc>
          <w:tcPr>
            <w:tcW w:w="668" w:type="pct"/>
            <w:vAlign w:val="center"/>
          </w:tcPr>
          <w:p w14:paraId="2830E7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Before treatment</w:t>
            </w:r>
          </w:p>
        </w:tc>
        <w:tc>
          <w:tcPr>
            <w:tcW w:w="1324" w:type="pct"/>
            <w:vAlign w:val="center"/>
          </w:tcPr>
          <w:p w14:paraId="4EE5A3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6.27 ± 0.82</w:t>
            </w:r>
          </w:p>
        </w:tc>
        <w:tc>
          <w:tcPr>
            <w:tcW w:w="1324" w:type="pct"/>
            <w:vAlign w:val="center"/>
          </w:tcPr>
          <w:p w14:paraId="0A9CB82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6.35 ± 0.78</w:t>
            </w:r>
          </w:p>
        </w:tc>
        <w:tc>
          <w:tcPr>
            <w:tcW w:w="716" w:type="pct"/>
            <w:vAlign w:val="center"/>
          </w:tcPr>
          <w:p w14:paraId="3ECF28A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0.541</w:t>
            </w:r>
          </w:p>
        </w:tc>
      </w:tr>
      <w:tr w14:paraId="1E87655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vMerge w:val="continue"/>
            <w:tcBorders>
              <w:bottom w:val="single" w:color="auto" w:sz="12" w:space="0"/>
            </w:tcBorders>
            <w:vAlign w:val="center"/>
          </w:tcPr>
          <w:p w14:paraId="7D5AB0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bottom w:val="single" w:color="auto" w:sz="12" w:space="0"/>
            </w:tcBorders>
            <w:vAlign w:val="center"/>
          </w:tcPr>
          <w:p w14:paraId="27A7C9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After treatment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147C6D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4.96 ± 0.60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69714A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5.54 ± 0.66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16" w:type="pct"/>
            <w:tcBorders>
              <w:bottom w:val="single" w:color="auto" w:sz="12" w:space="0"/>
            </w:tcBorders>
            <w:vAlign w:val="center"/>
          </w:tcPr>
          <w:p w14:paraId="56BDA9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0.001</w:t>
            </w:r>
          </w:p>
        </w:tc>
      </w:tr>
    </w:tbl>
    <w:p w14:paraId="5A4CA78B">
      <w:pPr>
        <w:adjustRightInd w:val="0"/>
        <w:snapToGrid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vs. </w:t>
      </w:r>
      <w:r>
        <w:rPr>
          <w:rFonts w:hint="eastAsia" w:ascii="Times New Roman" w:hAnsi="Times New Roman" w:cs="Times New Roman"/>
          <w:sz w:val="24"/>
          <w:szCs w:val="24"/>
        </w:rPr>
        <w:t>Before treatment.</w:t>
      </w:r>
    </w:p>
    <w:p w14:paraId="79194622">
      <w:pPr>
        <w:adjustRightInd w:val="0"/>
        <w:snapToGrid w:val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0684B55F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Comparison of blood glucose compliance rates between two groups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947"/>
        <w:gridCol w:w="2947"/>
        <w:gridCol w:w="1368"/>
      </w:tblGrid>
      <w:tr w14:paraId="03EC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BED02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Indicator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7681A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26203E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69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5A937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43B4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F9142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compliance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39C39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64 (85.33%)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10666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49 (65.33%)</w:t>
            </w:r>
          </w:p>
        </w:tc>
        <w:tc>
          <w:tcPr>
            <w:tcW w:w="69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F1053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0A5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9B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compliance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A2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 (10.67%)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BE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 (18.67%)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B89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3233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37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Non-compliance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8E4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0B0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 (16.00%)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B58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6D9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CF289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Compliance rate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1280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72 (96.00%)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BDCB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63 (84.00%)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5571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0.014</w:t>
            </w:r>
          </w:p>
        </w:tc>
      </w:tr>
    </w:tbl>
    <w:p w14:paraId="25EBD342">
      <w:pPr>
        <w:adjustRightInd w:val="0"/>
        <w:snapToGrid w:val="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59441DB0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Comparison of pregnancy outcomes between two groups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947"/>
        <w:gridCol w:w="2947"/>
        <w:gridCol w:w="1368"/>
      </w:tblGrid>
      <w:tr w14:paraId="7724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F4CAE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Indicator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9F71A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Study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1F0B8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Control group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(n = 75)</w:t>
            </w:r>
          </w:p>
        </w:tc>
        <w:tc>
          <w:tcPr>
            <w:tcW w:w="69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76EEDD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</w:p>
        </w:tc>
      </w:tr>
      <w:tr w14:paraId="0282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62FD772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delivery</w:t>
            </w: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1DCEE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1B1F1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45BFE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0.027</w:t>
            </w:r>
          </w:p>
        </w:tc>
      </w:tr>
      <w:tr w14:paraId="0A06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8F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Vaginal delivery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72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70 (93.33%)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8C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61 (81.33%)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E64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335A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DD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Cesarean section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BE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 (6.67%)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56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 (18.67%)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93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5CC2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4D6B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Adverse pregnancy outcomes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7B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 (14.67%)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EE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 (33.33%)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B2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0.007</w:t>
            </w:r>
          </w:p>
        </w:tc>
      </w:tr>
      <w:tr w14:paraId="2A4A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32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Preterm delivery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C3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 (1.33%)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FA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F19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77D5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70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 amniotic flui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81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1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 (9.33%)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CD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5300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B8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Postpartum hemorrhage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D1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 (2.67%)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8C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 (5.33%)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2C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34DB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8C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Hypoglycemic children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7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 (0.00%)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85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 (2.67%)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F4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5CFD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42F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Macrosomic children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C2C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 (2.67%)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A5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05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2AC0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FA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Malformed children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BB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 (0.00%)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CF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 (1.33%)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ED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  <w:tr w14:paraId="0E83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1461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Death or miscarriage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CFE54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 (4.00%)</w:t>
            </w:r>
          </w:p>
        </w:tc>
        <w:tc>
          <w:tcPr>
            <w:tcW w:w="149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AD14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 (6.67%)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E2C58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</w:tr>
    </w:tbl>
    <w:p w14:paraId="4BB6967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GIxOGVhNDllODk5ZmY2ZDZiMWRmZTIyN2IxOTIifQ=="/>
  </w:docVars>
  <w:rsids>
    <w:rsidRoot w:val="64751B0C"/>
    <w:rsid w:val="0017060C"/>
    <w:rsid w:val="003F6270"/>
    <w:rsid w:val="00727AA6"/>
    <w:rsid w:val="0084149A"/>
    <w:rsid w:val="009364BC"/>
    <w:rsid w:val="009B0251"/>
    <w:rsid w:val="00AF5F44"/>
    <w:rsid w:val="00F1191B"/>
    <w:rsid w:val="00F66F31"/>
    <w:rsid w:val="01F52C36"/>
    <w:rsid w:val="02346166"/>
    <w:rsid w:val="02516D5D"/>
    <w:rsid w:val="02A87E9B"/>
    <w:rsid w:val="037405E1"/>
    <w:rsid w:val="0394658D"/>
    <w:rsid w:val="04043713"/>
    <w:rsid w:val="04054286"/>
    <w:rsid w:val="04E2157A"/>
    <w:rsid w:val="05A212CA"/>
    <w:rsid w:val="05CB200E"/>
    <w:rsid w:val="05E8265B"/>
    <w:rsid w:val="05F6352F"/>
    <w:rsid w:val="06AE0FE1"/>
    <w:rsid w:val="07293490"/>
    <w:rsid w:val="073836D3"/>
    <w:rsid w:val="07A50D69"/>
    <w:rsid w:val="07A56FBB"/>
    <w:rsid w:val="07D93108"/>
    <w:rsid w:val="08033CE1"/>
    <w:rsid w:val="085E7023"/>
    <w:rsid w:val="086E3851"/>
    <w:rsid w:val="092403B3"/>
    <w:rsid w:val="098B0432"/>
    <w:rsid w:val="09D80F34"/>
    <w:rsid w:val="0A0A57FB"/>
    <w:rsid w:val="0A613B29"/>
    <w:rsid w:val="0AAA48E8"/>
    <w:rsid w:val="0ADB7197"/>
    <w:rsid w:val="0AEF5721"/>
    <w:rsid w:val="0B0E2A57"/>
    <w:rsid w:val="0B3A3EBE"/>
    <w:rsid w:val="0B472137"/>
    <w:rsid w:val="0BA94BA0"/>
    <w:rsid w:val="0C3C77C2"/>
    <w:rsid w:val="0C5E598A"/>
    <w:rsid w:val="0C601702"/>
    <w:rsid w:val="0C68202D"/>
    <w:rsid w:val="0CB437FC"/>
    <w:rsid w:val="0D58062B"/>
    <w:rsid w:val="0D841421"/>
    <w:rsid w:val="0E6D0107"/>
    <w:rsid w:val="0ECF0DC1"/>
    <w:rsid w:val="0F144A26"/>
    <w:rsid w:val="0F847DFE"/>
    <w:rsid w:val="0F9D4A1B"/>
    <w:rsid w:val="0FA45DAA"/>
    <w:rsid w:val="0FB12275"/>
    <w:rsid w:val="0FBF2BE4"/>
    <w:rsid w:val="0FFC09F7"/>
    <w:rsid w:val="10B169D0"/>
    <w:rsid w:val="11194576"/>
    <w:rsid w:val="117479FE"/>
    <w:rsid w:val="11C75D80"/>
    <w:rsid w:val="11CE35B2"/>
    <w:rsid w:val="11D72467"/>
    <w:rsid w:val="1232769D"/>
    <w:rsid w:val="12352282"/>
    <w:rsid w:val="13143247"/>
    <w:rsid w:val="1324605E"/>
    <w:rsid w:val="134D0507"/>
    <w:rsid w:val="13C7475D"/>
    <w:rsid w:val="13DF5B39"/>
    <w:rsid w:val="14103A0E"/>
    <w:rsid w:val="14B22D17"/>
    <w:rsid w:val="1505216A"/>
    <w:rsid w:val="155618F4"/>
    <w:rsid w:val="159D7523"/>
    <w:rsid w:val="16070E41"/>
    <w:rsid w:val="16304401"/>
    <w:rsid w:val="16EB42BE"/>
    <w:rsid w:val="17263548"/>
    <w:rsid w:val="17306175"/>
    <w:rsid w:val="175005C5"/>
    <w:rsid w:val="177249E0"/>
    <w:rsid w:val="177E5132"/>
    <w:rsid w:val="178F7340"/>
    <w:rsid w:val="17EB6C6C"/>
    <w:rsid w:val="184620F4"/>
    <w:rsid w:val="18BD1E4E"/>
    <w:rsid w:val="19081158"/>
    <w:rsid w:val="19094ED0"/>
    <w:rsid w:val="194A364C"/>
    <w:rsid w:val="1A3B761A"/>
    <w:rsid w:val="1A994A8E"/>
    <w:rsid w:val="1A9C249F"/>
    <w:rsid w:val="1ABC48F0"/>
    <w:rsid w:val="1AF9023A"/>
    <w:rsid w:val="1B527002"/>
    <w:rsid w:val="1B776A68"/>
    <w:rsid w:val="1B9C202B"/>
    <w:rsid w:val="1C2838BF"/>
    <w:rsid w:val="1D69418F"/>
    <w:rsid w:val="1DA022A7"/>
    <w:rsid w:val="1E56142E"/>
    <w:rsid w:val="1E6A01BF"/>
    <w:rsid w:val="1E826038"/>
    <w:rsid w:val="1E894AE9"/>
    <w:rsid w:val="1EA83BDD"/>
    <w:rsid w:val="1EB15A94"/>
    <w:rsid w:val="1EC57AEB"/>
    <w:rsid w:val="1F0B7BF4"/>
    <w:rsid w:val="1FC009DE"/>
    <w:rsid w:val="1FE02E2E"/>
    <w:rsid w:val="20176D4C"/>
    <w:rsid w:val="202A39A5"/>
    <w:rsid w:val="20512FE9"/>
    <w:rsid w:val="20A51982"/>
    <w:rsid w:val="20B3409F"/>
    <w:rsid w:val="21464F13"/>
    <w:rsid w:val="22682C67"/>
    <w:rsid w:val="22737F8A"/>
    <w:rsid w:val="22A53EBB"/>
    <w:rsid w:val="22BE76CC"/>
    <w:rsid w:val="2322550C"/>
    <w:rsid w:val="235651B5"/>
    <w:rsid w:val="23863CED"/>
    <w:rsid w:val="23BD47E8"/>
    <w:rsid w:val="24293BCC"/>
    <w:rsid w:val="24596D0B"/>
    <w:rsid w:val="248C5F0B"/>
    <w:rsid w:val="24A87C93"/>
    <w:rsid w:val="251D54F9"/>
    <w:rsid w:val="253B0DDF"/>
    <w:rsid w:val="25AB17E9"/>
    <w:rsid w:val="261F3F85"/>
    <w:rsid w:val="26211AAB"/>
    <w:rsid w:val="26364E73"/>
    <w:rsid w:val="27084A19"/>
    <w:rsid w:val="271B0BF0"/>
    <w:rsid w:val="27495A23"/>
    <w:rsid w:val="27AB1F74"/>
    <w:rsid w:val="27B32BD6"/>
    <w:rsid w:val="28041684"/>
    <w:rsid w:val="2810627B"/>
    <w:rsid w:val="28442907"/>
    <w:rsid w:val="2890116A"/>
    <w:rsid w:val="28996270"/>
    <w:rsid w:val="28C037FD"/>
    <w:rsid w:val="29EE456B"/>
    <w:rsid w:val="29F51284"/>
    <w:rsid w:val="2A063491"/>
    <w:rsid w:val="2A135BAE"/>
    <w:rsid w:val="2AB63109"/>
    <w:rsid w:val="2AE05491"/>
    <w:rsid w:val="2AF7102C"/>
    <w:rsid w:val="2B0A6FB1"/>
    <w:rsid w:val="2BCF1FA9"/>
    <w:rsid w:val="2C785A0E"/>
    <w:rsid w:val="2C934D84"/>
    <w:rsid w:val="2CAB47C4"/>
    <w:rsid w:val="2D3D22E5"/>
    <w:rsid w:val="2DC07DFB"/>
    <w:rsid w:val="2E150147"/>
    <w:rsid w:val="2E391595"/>
    <w:rsid w:val="2E3F51C4"/>
    <w:rsid w:val="2E516CA5"/>
    <w:rsid w:val="2E953036"/>
    <w:rsid w:val="2E9A7ACB"/>
    <w:rsid w:val="2E9C43C4"/>
    <w:rsid w:val="2EBC4A66"/>
    <w:rsid w:val="2F45680A"/>
    <w:rsid w:val="2FC279D2"/>
    <w:rsid w:val="3045283A"/>
    <w:rsid w:val="305B205D"/>
    <w:rsid w:val="30676C54"/>
    <w:rsid w:val="30B26121"/>
    <w:rsid w:val="30E67B79"/>
    <w:rsid w:val="311A5A74"/>
    <w:rsid w:val="313A7EC4"/>
    <w:rsid w:val="319770C5"/>
    <w:rsid w:val="31B9528D"/>
    <w:rsid w:val="32384404"/>
    <w:rsid w:val="32AC6BA0"/>
    <w:rsid w:val="32F756F3"/>
    <w:rsid w:val="33030EB6"/>
    <w:rsid w:val="33201BAC"/>
    <w:rsid w:val="33232E73"/>
    <w:rsid w:val="337A0A4C"/>
    <w:rsid w:val="33A06705"/>
    <w:rsid w:val="345D63A4"/>
    <w:rsid w:val="34CA77B1"/>
    <w:rsid w:val="359C1B01"/>
    <w:rsid w:val="35B20971"/>
    <w:rsid w:val="35BF6BEA"/>
    <w:rsid w:val="35D00DF7"/>
    <w:rsid w:val="361E6007"/>
    <w:rsid w:val="36BD312A"/>
    <w:rsid w:val="38653A79"/>
    <w:rsid w:val="38710670"/>
    <w:rsid w:val="38D14EE7"/>
    <w:rsid w:val="3A061C9F"/>
    <w:rsid w:val="3A396F6B"/>
    <w:rsid w:val="3A4F678F"/>
    <w:rsid w:val="3A951934"/>
    <w:rsid w:val="3AA92EF2"/>
    <w:rsid w:val="3AD81A2B"/>
    <w:rsid w:val="3AED7D56"/>
    <w:rsid w:val="3AF13CEA"/>
    <w:rsid w:val="3AF630AE"/>
    <w:rsid w:val="3B3911ED"/>
    <w:rsid w:val="3B4007CD"/>
    <w:rsid w:val="3B7F4E52"/>
    <w:rsid w:val="3C8446EA"/>
    <w:rsid w:val="3CB7061B"/>
    <w:rsid w:val="3CD25455"/>
    <w:rsid w:val="3D202664"/>
    <w:rsid w:val="3D2860FD"/>
    <w:rsid w:val="3DB15B99"/>
    <w:rsid w:val="3DC36C95"/>
    <w:rsid w:val="3DDD67A7"/>
    <w:rsid w:val="3EAD4F57"/>
    <w:rsid w:val="3EB92D70"/>
    <w:rsid w:val="3F0B4C4E"/>
    <w:rsid w:val="3F95733A"/>
    <w:rsid w:val="3FA532F5"/>
    <w:rsid w:val="3FBB0422"/>
    <w:rsid w:val="4061721C"/>
    <w:rsid w:val="40662A84"/>
    <w:rsid w:val="41332725"/>
    <w:rsid w:val="41B17D2F"/>
    <w:rsid w:val="41CA2B9F"/>
    <w:rsid w:val="41FF0A9A"/>
    <w:rsid w:val="42576B28"/>
    <w:rsid w:val="43792ACE"/>
    <w:rsid w:val="43CF50EF"/>
    <w:rsid w:val="43D61CCF"/>
    <w:rsid w:val="43E51F12"/>
    <w:rsid w:val="442C18EF"/>
    <w:rsid w:val="449B0822"/>
    <w:rsid w:val="45303661"/>
    <w:rsid w:val="45493EFF"/>
    <w:rsid w:val="455E01CE"/>
    <w:rsid w:val="45813EBC"/>
    <w:rsid w:val="459C2AA4"/>
    <w:rsid w:val="461A0599"/>
    <w:rsid w:val="465203DF"/>
    <w:rsid w:val="46584C1D"/>
    <w:rsid w:val="465B64BB"/>
    <w:rsid w:val="46696E2A"/>
    <w:rsid w:val="467C5EF2"/>
    <w:rsid w:val="468772B0"/>
    <w:rsid w:val="468E6891"/>
    <w:rsid w:val="470D3C59"/>
    <w:rsid w:val="473D47BE"/>
    <w:rsid w:val="475950F1"/>
    <w:rsid w:val="47EA6FD3"/>
    <w:rsid w:val="48233009"/>
    <w:rsid w:val="48657AC5"/>
    <w:rsid w:val="4950607F"/>
    <w:rsid w:val="49584F34"/>
    <w:rsid w:val="49816239"/>
    <w:rsid w:val="499441BE"/>
    <w:rsid w:val="49BC36E1"/>
    <w:rsid w:val="4ABA40F8"/>
    <w:rsid w:val="4ADB4956"/>
    <w:rsid w:val="4AF55B2F"/>
    <w:rsid w:val="4B383B38"/>
    <w:rsid w:val="4BAA7FD1"/>
    <w:rsid w:val="4C526437"/>
    <w:rsid w:val="4CD64AED"/>
    <w:rsid w:val="4CFB4554"/>
    <w:rsid w:val="4D1D271C"/>
    <w:rsid w:val="4E2F0F91"/>
    <w:rsid w:val="4E4A12EF"/>
    <w:rsid w:val="4E721C6A"/>
    <w:rsid w:val="4E892242"/>
    <w:rsid w:val="4EF456FF"/>
    <w:rsid w:val="4F80572D"/>
    <w:rsid w:val="4FB31116"/>
    <w:rsid w:val="4FD111C1"/>
    <w:rsid w:val="50A218B6"/>
    <w:rsid w:val="50FB378B"/>
    <w:rsid w:val="518C1C1F"/>
    <w:rsid w:val="51B82A14"/>
    <w:rsid w:val="51D13AD5"/>
    <w:rsid w:val="521A0616"/>
    <w:rsid w:val="524B7D2C"/>
    <w:rsid w:val="525F19A5"/>
    <w:rsid w:val="52FE08FA"/>
    <w:rsid w:val="53D8114B"/>
    <w:rsid w:val="53DA37FD"/>
    <w:rsid w:val="54AF39D0"/>
    <w:rsid w:val="550D751A"/>
    <w:rsid w:val="556C4241"/>
    <w:rsid w:val="55B81234"/>
    <w:rsid w:val="56A31EE4"/>
    <w:rsid w:val="56BA0FDC"/>
    <w:rsid w:val="5717642E"/>
    <w:rsid w:val="572D5EB9"/>
    <w:rsid w:val="573A5F50"/>
    <w:rsid w:val="5778767D"/>
    <w:rsid w:val="57AA2DFF"/>
    <w:rsid w:val="57BB500C"/>
    <w:rsid w:val="57C7431A"/>
    <w:rsid w:val="58093FC9"/>
    <w:rsid w:val="584D65AC"/>
    <w:rsid w:val="5A53777D"/>
    <w:rsid w:val="5A584D94"/>
    <w:rsid w:val="5AC06C30"/>
    <w:rsid w:val="5AC42429"/>
    <w:rsid w:val="5B615ECA"/>
    <w:rsid w:val="5B762629"/>
    <w:rsid w:val="5BA858A7"/>
    <w:rsid w:val="5BEF34D6"/>
    <w:rsid w:val="5BF57092"/>
    <w:rsid w:val="5C5F065B"/>
    <w:rsid w:val="5C643EC4"/>
    <w:rsid w:val="5C757E7F"/>
    <w:rsid w:val="5CC22998"/>
    <w:rsid w:val="5D2E002E"/>
    <w:rsid w:val="5D3E4715"/>
    <w:rsid w:val="5DF1053F"/>
    <w:rsid w:val="5E1E4546"/>
    <w:rsid w:val="5E4F64AE"/>
    <w:rsid w:val="5EA21604"/>
    <w:rsid w:val="5EFD5F0A"/>
    <w:rsid w:val="5F5F6BC4"/>
    <w:rsid w:val="608A1A1F"/>
    <w:rsid w:val="6232236E"/>
    <w:rsid w:val="62347E94"/>
    <w:rsid w:val="625207B2"/>
    <w:rsid w:val="62CA25A7"/>
    <w:rsid w:val="635D78BF"/>
    <w:rsid w:val="63780255"/>
    <w:rsid w:val="63D062E3"/>
    <w:rsid w:val="64572560"/>
    <w:rsid w:val="64746C6E"/>
    <w:rsid w:val="64751B0C"/>
    <w:rsid w:val="64964E36"/>
    <w:rsid w:val="64D92F75"/>
    <w:rsid w:val="65E25E59"/>
    <w:rsid w:val="65F91B21"/>
    <w:rsid w:val="665A4CEA"/>
    <w:rsid w:val="666C2F5C"/>
    <w:rsid w:val="66F145A6"/>
    <w:rsid w:val="66F62437"/>
    <w:rsid w:val="66FA5594"/>
    <w:rsid w:val="6704737C"/>
    <w:rsid w:val="67140294"/>
    <w:rsid w:val="673D1FE1"/>
    <w:rsid w:val="67A27F96"/>
    <w:rsid w:val="67B33F51"/>
    <w:rsid w:val="68000819"/>
    <w:rsid w:val="680B5B3B"/>
    <w:rsid w:val="68120C78"/>
    <w:rsid w:val="68461D93"/>
    <w:rsid w:val="68B27D65"/>
    <w:rsid w:val="694766FF"/>
    <w:rsid w:val="699456BD"/>
    <w:rsid w:val="69DC247B"/>
    <w:rsid w:val="6AC1283E"/>
    <w:rsid w:val="6B1E16E2"/>
    <w:rsid w:val="6B7A6841"/>
    <w:rsid w:val="6B8B7888"/>
    <w:rsid w:val="6C7E223D"/>
    <w:rsid w:val="6CA34594"/>
    <w:rsid w:val="6CF90658"/>
    <w:rsid w:val="6DAC6A3E"/>
    <w:rsid w:val="6E8403F6"/>
    <w:rsid w:val="6EC72090"/>
    <w:rsid w:val="6ED61ACD"/>
    <w:rsid w:val="6EE113A4"/>
    <w:rsid w:val="6F432672"/>
    <w:rsid w:val="6F484F7F"/>
    <w:rsid w:val="6FAD1286"/>
    <w:rsid w:val="70440C9B"/>
    <w:rsid w:val="706A7177"/>
    <w:rsid w:val="70DC1E23"/>
    <w:rsid w:val="70DD3DED"/>
    <w:rsid w:val="71467BE4"/>
    <w:rsid w:val="719831FD"/>
    <w:rsid w:val="719E532A"/>
    <w:rsid w:val="72423B4D"/>
    <w:rsid w:val="726C5429"/>
    <w:rsid w:val="72881172"/>
    <w:rsid w:val="72D134DE"/>
    <w:rsid w:val="730218E9"/>
    <w:rsid w:val="73134695"/>
    <w:rsid w:val="73F6144E"/>
    <w:rsid w:val="740F250F"/>
    <w:rsid w:val="74251AD2"/>
    <w:rsid w:val="743B2B00"/>
    <w:rsid w:val="747B1953"/>
    <w:rsid w:val="74B44E65"/>
    <w:rsid w:val="74C23AFE"/>
    <w:rsid w:val="7577036C"/>
    <w:rsid w:val="75C17839"/>
    <w:rsid w:val="761738FD"/>
    <w:rsid w:val="76394DA6"/>
    <w:rsid w:val="763A14F7"/>
    <w:rsid w:val="770E6AAE"/>
    <w:rsid w:val="784309DA"/>
    <w:rsid w:val="786170B2"/>
    <w:rsid w:val="78AF2513"/>
    <w:rsid w:val="78B673FD"/>
    <w:rsid w:val="791D122B"/>
    <w:rsid w:val="79226841"/>
    <w:rsid w:val="794C7D62"/>
    <w:rsid w:val="7A350A76"/>
    <w:rsid w:val="7A6F3D08"/>
    <w:rsid w:val="7A911ED0"/>
    <w:rsid w:val="7AA5772A"/>
    <w:rsid w:val="7B451932"/>
    <w:rsid w:val="7B5D15F3"/>
    <w:rsid w:val="7B7A6E08"/>
    <w:rsid w:val="7BB87930"/>
    <w:rsid w:val="7C352D2F"/>
    <w:rsid w:val="7C9061B7"/>
    <w:rsid w:val="7CBC6FAC"/>
    <w:rsid w:val="7D202607"/>
    <w:rsid w:val="7D796C4C"/>
    <w:rsid w:val="7DF870B2"/>
    <w:rsid w:val="7E171E3C"/>
    <w:rsid w:val="7E957AB5"/>
    <w:rsid w:val="7F405C73"/>
    <w:rsid w:val="7F7D2A23"/>
    <w:rsid w:val="7F9E0BEB"/>
    <w:rsid w:val="7FA51F7A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5"/>
    <w:qFormat/>
    <w:uiPriority w:val="0"/>
    <w:pPr>
      <w:jc w:val="both"/>
    </w:pPr>
    <w:rPr>
      <w:b/>
      <w:bCs/>
      <w:sz w:val="20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annotation reference"/>
    <w:basedOn w:val="8"/>
    <w:qFormat/>
    <w:uiPriority w:val="0"/>
    <w:rPr>
      <w:sz w:val="16"/>
      <w:szCs w:val="16"/>
    </w:rPr>
  </w:style>
  <w:style w:type="character" w:customStyle="1" w:styleId="11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style01"/>
    <w:autoRedefine/>
    <w:qFormat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14">
    <w:name w:val="Açıklama Metni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customStyle="1" w:styleId="15">
    <w:name w:val="Açıklama Konusu Char"/>
    <w:basedOn w:val="14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/>
    </w:rPr>
  </w:style>
  <w:style w:type="character" w:customStyle="1" w:styleId="16">
    <w:name w:val="Balon Metni Char"/>
    <w:basedOn w:val="8"/>
    <w:link w:val="3"/>
    <w:qFormat/>
    <w:uiPriority w:val="0"/>
    <w:rPr>
      <w:rFonts w:ascii="Tahoma" w:hAnsi="Tahoma" w:cs="Tahoma" w:eastAsiaTheme="minorEastAsia"/>
      <w:kern w:val="2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389</Words>
  <Characters>1777</Characters>
  <Lines>26</Lines>
  <Paragraphs>7</Paragraphs>
  <TotalTime>0</TotalTime>
  <ScaleCrop>false</ScaleCrop>
  <LinksUpToDate>false</LinksUpToDate>
  <CharactersWithSpaces>1990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2024-01-14T12:29:00Z</dcterms:created>
  <dc:creator>Administrator</dc:creator>
  <cp:lastModifiedBy>青柠</cp:lastModifiedBy>
  <dcterms:modified xsi:type="dcterms:W3CDTF">2024-12-25T05:41:43Z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F43CFFB6EFBD40AD870FBAAD8D5240F2_11</vt:lpwstr>
  </property>
</Properties>
</file>