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401ED">
      <w:pPr>
        <w:jc w:val="center"/>
        <w:rPr>
          <w:rFonts w:hint="default" w:ascii="Arial" w:hAnsi="Arial" w:cs="Arial"/>
          <w:color w:val="auto"/>
          <w:sz w:val="24"/>
          <w:szCs w:val="24"/>
        </w:rPr>
      </w:pPr>
      <w:bookmarkStart w:id="0" w:name="_GoBack"/>
      <w:bookmarkEnd w:id="0"/>
      <w:r>
        <w:rPr>
          <w:rFonts w:hint="default" w:ascii="Arial" w:hAnsi="Arial" w:cs="Arial"/>
          <w:color w:val="auto"/>
          <w:sz w:val="24"/>
          <w:szCs w:val="24"/>
        </w:rPr>
        <w:drawing>
          <wp:inline distT="0" distB="0" distL="114300" distR="114300">
            <wp:extent cx="5833745" cy="3312795"/>
            <wp:effectExtent l="0" t="0" r="1460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33745" cy="331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8C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="Arial" w:hAnsi="Arial" w:cs="Arial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Arial" w:hAnsi="Arial" w:eastAsia="MyriadPro-Light" w:cs="Arial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Figure </w:t>
      </w:r>
      <w:r>
        <w:rPr>
          <w:rFonts w:hint="eastAsia" w:ascii="Arial" w:hAnsi="Arial" w:eastAsia="MyriadPro-Light" w:cs="Arial"/>
          <w:b/>
          <w:bCs/>
          <w:color w:val="auto"/>
          <w:kern w:val="0"/>
          <w:sz w:val="24"/>
          <w:szCs w:val="24"/>
          <w:lang w:val="en-US" w:eastAsia="zh-CN" w:bidi="ar"/>
        </w:rPr>
        <w:t>1</w:t>
      </w:r>
      <w:r>
        <w:rPr>
          <w:rFonts w:hint="default" w:ascii="Arial" w:hAnsi="Arial" w:eastAsia="MyriadPro-Light" w:cs="Arial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. </w:t>
      </w:r>
      <w:r>
        <w:rPr>
          <w:rFonts w:hint="default" w:ascii="Arial" w:hAnsi="Arial" w:cs="Arial"/>
          <w:b/>
          <w:bCs/>
          <w:color w:val="auto"/>
          <w:sz w:val="24"/>
          <w:szCs w:val="24"/>
        </w:rPr>
        <w:t>M</w:t>
      </w:r>
      <w:r>
        <w:rPr>
          <w:rFonts w:hint="default" w:ascii="Arial" w:hAnsi="Arial" w:cs="Arial"/>
          <w:b/>
          <w:bCs/>
          <w:color w:val="auto"/>
          <w:sz w:val="24"/>
          <w:szCs w:val="24"/>
          <w:lang w:val="en-US" w:eastAsia="zh-CN"/>
        </w:rPr>
        <w:t>R</w:t>
      </w:r>
      <w:r>
        <w:rPr>
          <w:rFonts w:hint="default" w:ascii="Arial" w:hAnsi="Arial" w:cs="Arial"/>
          <w:b/>
          <w:bCs/>
          <w:color w:val="auto"/>
          <w:sz w:val="24"/>
          <w:szCs w:val="24"/>
        </w:rPr>
        <w:t xml:space="preserve"> estimates for the relationship between genetically instrumented sex hormones and </w:t>
      </w:r>
      <w:r>
        <w:rPr>
          <w:rFonts w:hint="default" w:ascii="Arial" w:hAnsi="Arial" w:cs="Arial"/>
          <w:b/>
          <w:bCs/>
          <w:color w:val="auto"/>
          <w:sz w:val="24"/>
          <w:szCs w:val="24"/>
          <w:lang w:val="en-US" w:eastAsia="zh-CN"/>
        </w:rPr>
        <w:t>SS</w:t>
      </w:r>
    </w:p>
    <w:p w14:paraId="13938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Arial" w:hAnsi="Arial" w:cs="Arial"/>
          <w:color w:val="auto"/>
          <w:sz w:val="24"/>
          <w:szCs w:val="24"/>
          <w:lang w:val="en-US" w:eastAsia="zh-CN"/>
        </w:rPr>
      </w:pP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nSNP: number of 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>single nucleotide polymorphisms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; </w:t>
      </w:r>
      <w:r>
        <w:rPr>
          <w:rFonts w:hint="default" w:ascii="Arial" w:hAnsi="Arial" w:cs="Arial"/>
          <w:color w:val="auto"/>
          <w:sz w:val="24"/>
          <w:szCs w:val="24"/>
          <w:lang w:eastAsia="zh-CN"/>
        </w:rPr>
        <w:t>OR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: </w:t>
      </w:r>
      <w:r>
        <w:rPr>
          <w:rFonts w:hint="default" w:ascii="Arial" w:hAnsi="Arial" w:cs="Arial"/>
          <w:color w:val="auto"/>
          <w:sz w:val="24"/>
          <w:szCs w:val="24"/>
          <w:lang w:eastAsia="zh-CN"/>
        </w:rPr>
        <w:t>odds ratio;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/>
          <w:color w:val="auto"/>
          <w:sz w:val="24"/>
          <w:szCs w:val="24"/>
          <w:lang w:eastAsia="zh-CN"/>
        </w:rPr>
        <w:t>CI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: </w:t>
      </w:r>
      <w:r>
        <w:rPr>
          <w:rFonts w:hint="default" w:ascii="Arial" w:hAnsi="Arial" w:cs="Arial"/>
          <w:color w:val="auto"/>
          <w:sz w:val="24"/>
          <w:szCs w:val="24"/>
          <w:lang w:eastAsia="zh-CN"/>
        </w:rPr>
        <w:t xml:space="preserve"> confidence interval;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/>
          <w:color w:val="auto"/>
          <w:sz w:val="24"/>
          <w:szCs w:val="24"/>
        </w:rPr>
        <w:t>SHBG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 xml:space="preserve">: </w:t>
      </w:r>
      <w:r>
        <w:rPr>
          <w:rFonts w:hint="default" w:ascii="Arial" w:hAnsi="Arial" w:cs="Arial"/>
          <w:color w:val="auto"/>
          <w:sz w:val="24"/>
          <w:szCs w:val="24"/>
        </w:rPr>
        <w:t>sex hormone-binding globulin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>.</w:t>
      </w:r>
    </w:p>
    <w:p w14:paraId="0D471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="Arial" w:hAnsi="Arial" w:cs="Arial"/>
          <w:color w:val="auto"/>
          <w:sz w:val="24"/>
          <w:szCs w:val="24"/>
          <w:lang w:val="en-US" w:eastAsia="zh-CN"/>
        </w:rPr>
      </w:pPr>
    </w:p>
    <w:p w14:paraId="7CB5C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="Arial" w:hAnsi="Arial" w:cs="Arial"/>
          <w:color w:val="auto"/>
          <w:sz w:val="24"/>
          <w:szCs w:val="24"/>
          <w:lang w:val="en-US" w:eastAsia="zh-CN"/>
        </w:rPr>
      </w:pPr>
    </w:p>
    <w:p w14:paraId="52316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="Arial" w:hAnsi="Arial" w:cs="Arial"/>
          <w:color w:val="auto"/>
          <w:sz w:val="24"/>
          <w:szCs w:val="24"/>
          <w:lang w:val="en-US" w:eastAsia="zh-CN"/>
        </w:rPr>
      </w:pPr>
    </w:p>
    <w:p w14:paraId="6B3AFA93">
      <w:pPr>
        <w:rPr>
          <w:rFonts w:hint="default" w:ascii="Arial" w:hAnsi="Arial" w:cs="Arial"/>
          <w:color w:val="auto"/>
          <w:sz w:val="24"/>
          <w:szCs w:val="24"/>
          <w:lang w:val="en-US" w:eastAsia="zh-CN"/>
        </w:rPr>
      </w:pPr>
    </w:p>
    <w:p w14:paraId="396E9630">
      <w:pPr>
        <w:rPr>
          <w:rFonts w:hint="default" w:ascii="Arial" w:hAnsi="Arial" w:cs="Arial"/>
          <w:color w:val="auto"/>
          <w:sz w:val="24"/>
          <w:szCs w:val="24"/>
          <w:lang w:val="en-US" w:eastAsia="zh-CN"/>
        </w:rPr>
      </w:pPr>
    </w:p>
    <w:p w14:paraId="76A15848">
      <w:pPr>
        <w:jc w:val="right"/>
        <w:rPr>
          <w:rFonts w:hint="default" w:ascii="Arial" w:hAnsi="Arial" w:cs="Arial"/>
          <w:color w:val="auto"/>
          <w:sz w:val="24"/>
          <w:szCs w:val="24"/>
        </w:rPr>
      </w:pPr>
      <w:r>
        <w:rPr>
          <w:rFonts w:hint="default" w:ascii="Arial" w:hAnsi="Arial" w:cs="Arial"/>
          <w:color w:val="auto"/>
          <w:sz w:val="24"/>
          <w:szCs w:val="24"/>
        </w:rPr>
        <w:drawing>
          <wp:inline distT="0" distB="0" distL="114300" distR="114300">
            <wp:extent cx="5756275" cy="3304540"/>
            <wp:effectExtent l="0" t="0" r="1587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330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D1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="Arial" w:hAnsi="Arial" w:cs="Arial"/>
          <w:b/>
          <w:bCs/>
          <w:color w:val="auto"/>
          <w:sz w:val="24"/>
          <w:szCs w:val="24"/>
        </w:rPr>
      </w:pPr>
      <w:r>
        <w:rPr>
          <w:rFonts w:hint="default" w:ascii="Arial" w:hAnsi="Arial" w:eastAsia="MyriadPro-Light" w:cs="Arial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Figure </w:t>
      </w:r>
      <w:r>
        <w:rPr>
          <w:rFonts w:hint="eastAsia" w:ascii="Arial" w:hAnsi="Arial" w:eastAsia="MyriadPro-Light" w:cs="Arial"/>
          <w:b/>
          <w:bCs/>
          <w:color w:val="auto"/>
          <w:kern w:val="0"/>
          <w:sz w:val="24"/>
          <w:szCs w:val="24"/>
          <w:lang w:val="en-US" w:eastAsia="zh-CN" w:bidi="ar"/>
        </w:rPr>
        <w:t>2</w:t>
      </w:r>
      <w:r>
        <w:rPr>
          <w:rFonts w:hint="default" w:ascii="Arial" w:hAnsi="Arial" w:eastAsia="MyriadPro-Light" w:cs="Arial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. </w:t>
      </w:r>
      <w:r>
        <w:rPr>
          <w:rFonts w:hint="default" w:ascii="Arial" w:hAnsi="Arial" w:cs="Arial"/>
          <w:b/>
          <w:bCs/>
          <w:color w:val="auto"/>
          <w:sz w:val="24"/>
          <w:szCs w:val="24"/>
        </w:rPr>
        <w:t>M</w:t>
      </w:r>
      <w:r>
        <w:rPr>
          <w:rFonts w:hint="default" w:ascii="Arial" w:hAnsi="Arial" w:cs="Arial"/>
          <w:b/>
          <w:bCs/>
          <w:color w:val="auto"/>
          <w:sz w:val="24"/>
          <w:szCs w:val="24"/>
          <w:lang w:val="en-US" w:eastAsia="zh-CN"/>
        </w:rPr>
        <w:t>R</w:t>
      </w:r>
      <w:r>
        <w:rPr>
          <w:rFonts w:hint="default" w:ascii="Arial" w:hAnsi="Arial" w:cs="Arial"/>
          <w:b/>
          <w:bCs/>
          <w:color w:val="auto"/>
          <w:sz w:val="24"/>
          <w:szCs w:val="24"/>
        </w:rPr>
        <w:t xml:space="preserve"> estimates for the relationship between genetically instrumented </w:t>
      </w:r>
      <w:r>
        <w:rPr>
          <w:rFonts w:hint="default" w:ascii="Arial" w:hAnsi="Arial" w:cs="Arial"/>
          <w:b/>
          <w:bCs/>
          <w:color w:val="auto"/>
          <w:sz w:val="24"/>
          <w:szCs w:val="24"/>
          <w:lang w:val="en-US" w:eastAsia="zh-CN"/>
        </w:rPr>
        <w:t>SS</w:t>
      </w:r>
      <w:r>
        <w:rPr>
          <w:rFonts w:hint="default" w:ascii="Arial" w:hAnsi="Arial" w:cs="Arial"/>
          <w:b/>
          <w:bCs/>
          <w:color w:val="auto"/>
          <w:sz w:val="24"/>
          <w:szCs w:val="24"/>
        </w:rPr>
        <w:t xml:space="preserve"> and sex hormones</w:t>
      </w:r>
    </w:p>
    <w:p w14:paraId="246A1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Arial" w:hAnsi="Arial" w:cs="Arial"/>
          <w:color w:val="auto"/>
          <w:sz w:val="24"/>
          <w:szCs w:val="24"/>
          <w:lang w:val="en-US" w:eastAsia="zh-CN"/>
        </w:rPr>
      </w:pP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nSNP: number of 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>single nucleotide polymorphisms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; </w:t>
      </w:r>
      <w:r>
        <w:rPr>
          <w:rFonts w:hint="default" w:ascii="Arial" w:hAnsi="Arial" w:cs="Arial"/>
          <w:color w:val="auto"/>
          <w:sz w:val="24"/>
          <w:szCs w:val="24"/>
          <w:lang w:eastAsia="zh-CN"/>
        </w:rPr>
        <w:t>OR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: </w:t>
      </w:r>
      <w:r>
        <w:rPr>
          <w:rFonts w:hint="default" w:ascii="Arial" w:hAnsi="Arial" w:cs="Arial"/>
          <w:color w:val="auto"/>
          <w:sz w:val="24"/>
          <w:szCs w:val="24"/>
          <w:lang w:eastAsia="zh-CN"/>
        </w:rPr>
        <w:t>odds ratio;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/>
          <w:color w:val="auto"/>
          <w:sz w:val="24"/>
          <w:szCs w:val="24"/>
          <w:lang w:eastAsia="zh-CN"/>
        </w:rPr>
        <w:t>CI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: </w:t>
      </w:r>
      <w:r>
        <w:rPr>
          <w:rFonts w:hint="default" w:ascii="Arial" w:hAnsi="Arial" w:cs="Arial"/>
          <w:color w:val="auto"/>
          <w:sz w:val="24"/>
          <w:szCs w:val="24"/>
          <w:lang w:eastAsia="zh-CN"/>
        </w:rPr>
        <w:t xml:space="preserve"> confidence interval;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/>
          <w:color w:val="auto"/>
          <w:sz w:val="24"/>
          <w:szCs w:val="24"/>
        </w:rPr>
        <w:t>SHBG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 xml:space="preserve">: </w:t>
      </w:r>
      <w:r>
        <w:rPr>
          <w:rFonts w:hint="default" w:ascii="Arial" w:hAnsi="Arial" w:cs="Arial"/>
          <w:color w:val="auto"/>
          <w:sz w:val="24"/>
          <w:szCs w:val="24"/>
        </w:rPr>
        <w:t>sex hormone-binding globulin</w:t>
      </w:r>
      <w:r>
        <w:rPr>
          <w:rFonts w:hint="eastAsia" w:ascii="Arial" w:hAnsi="Arial" w:cs="Arial"/>
          <w:color w:val="auto"/>
          <w:sz w:val="24"/>
          <w:szCs w:val="24"/>
          <w:lang w:val="en-US" w:eastAsia="zh-CN"/>
        </w:rPr>
        <w:t>.</w:t>
      </w:r>
    </w:p>
    <w:p w14:paraId="6779E0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yriadPro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NmFjMmM4ZTljMGJiZDAxN2JmYTc0NGI0NmFiNDgifQ=="/>
  </w:docVars>
  <w:rsids>
    <w:rsidRoot w:val="71D87147"/>
    <w:rsid w:val="0FD26B5F"/>
    <w:rsid w:val="71D8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</Words>
  <Characters>861</Characters>
  <Lines>0</Lines>
  <Paragraphs>0</Paragraphs>
  <TotalTime>0</TotalTime>
  <ScaleCrop>false</ScaleCrop>
  <LinksUpToDate>false</LinksUpToDate>
  <CharactersWithSpaces>991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2024-08-13T13:27:00Z</dcterms:created>
  <dc:creator>芋圆仙子</dc:creator>
  <cp:lastModifiedBy>好青年王师傅</cp:lastModifiedBy>
  <dcterms:modified xsi:type="dcterms:W3CDTF">2024-10-11T04:19:08Z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BC4A8B7D8DFB4859AD6244E4F080A5F3_13</vt:lpwstr>
  </property>
</Properties>
</file>